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Oracle Corporation</w:t>
      </w:r>
    </w:p>
    <w:p>
      <w:r>
        <w:rPr>
          <w:rFonts w:ascii="Arial" w:hAnsi="Arial"/>
          <w:b w:val="0"/>
          <w:i w:val="0"/>
          <w:color w:val="000000"/>
          <w:sz w:val="22"/>
        </w:rPr>
        <w:t>Re: Senior Machine Learning Engineer, US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Senior Machine Learning Engineer role at Oracle Corporation. With over four years of experience building and deploying production ML systems — spanning RAG pipelines, computer-vision applications, and agentic workflows — I am confident I can contribute meaningfully to Oracle's machine learning infrastructure and model deployment initiatives from day one.</w:t>
      </w:r>
    </w:p>
    <w:p>
      <w:r>
        <w:rPr>
          <w:rFonts w:ascii="Arial" w:hAnsi="Arial"/>
          <w:b w:val="0"/>
          <w:i w:val="0"/>
          <w:color w:val="000000"/>
          <w:sz w:val="22"/>
        </w:rPr>
        <w:t>In my role as a Generative AI Engineer Intern at G5 Infotech, I benchmarked multiple RAG chunking strategies using LangChain and Hugging Face, evaluating precision, recall, and MRR to achieve a ~30% retrieval latency reduction in production. I also tuned Pinecone vector-DB configurations and managed context-window parameters to deliver ~22% faster average response times. This work required close attention to data quality trade-offs and retrieval accuracy — exactly the kind of modeling readiness and workflow automation focus described in Oracle's job posting. As a Graduate Research Assistant at Stevens Institute of Technology, I designed and implemented an IoU-based spatial accuracy evaluation algorithm across 25 live participants, mirroring the model performance monitoring responsibilities central to this role, and I published this work as a first-author paper at ACM SIGACCESS ASSETS 2025.</w:t>
      </w:r>
    </w:p>
    <w:p>
      <w:r>
        <w:rPr>
          <w:rFonts w:ascii="Arial" w:hAnsi="Arial"/>
          <w:b w:val="0"/>
          <w:i w:val="0"/>
          <w:color w:val="000000"/>
          <w:sz w:val="22"/>
        </w:rPr>
        <w:t>Earlier in my career at Certes Networks, I Dockerized deployment pipelines for encryption hardware, refactored high-throughput backend modules to improve efficiency by 20% while sustaining 99.8% uptime, and identified a critical security bug that was causing silent encryption failures across deployed devices. This experience sharpened my ability to proactively surface data security and privacy risks within production systems — a key responsibility called out in Oracle's role description. My hands-on work across Docker, Kubernetes, AWS, and CI/CD pipelines gives me the infrastructure fluency needed to contribute to Oracle's ML deployment and monitoring frameworks.</w:t>
      </w:r>
    </w:p>
    <w:p>
      <w:r>
        <w:rPr>
          <w:rFonts w:ascii="Arial" w:hAnsi="Arial"/>
          <w:b w:val="0"/>
          <w:i w:val="0"/>
          <w:color w:val="000000"/>
          <w:sz w:val="22"/>
        </w:rPr>
        <w:t>I am drawn to Oracle's scale and its commitment to building robust, enterprise-grade AI systems. I would welcome the opportunity to bring my production ML, GenAI, and infrastructure experience to your team and help drive the reliability and performance of Oracle's machine learning platform.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