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i w:val="0"/>
          <w:color w:val="000000"/>
          <w:sz w:val="22"/>
        </w:rPr>
        <w:t>Srikala Sandu</w:t>
      </w:r>
    </w:p>
    <w:p>
      <w:r>
        <w:rPr>
          <w:rFonts w:ascii="Arial" w:hAnsi="Arial"/>
          <w:b w:val="0"/>
          <w:i w:val="0"/>
          <w:color w:val="000000"/>
          <w:sz w:val="22"/>
        </w:rPr>
        <w:t>Jersey City, NJ | sandusrikala@gmail.com | +1 (551) 554-1160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Hiring Team, PwC</w:t>
      </w:r>
    </w:p>
    <w:p>
      <w:r>
        <w:rPr>
          <w:rFonts w:ascii="Arial" w:hAnsi="Arial"/>
          <w:b w:val="0"/>
          <w:i w:val="0"/>
          <w:color w:val="000000"/>
          <w:sz w:val="22"/>
        </w:rPr>
        <w:t>Re: AI Engineer, Five Points, Wake County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Dear Hiring Team,</w:t>
      </w:r>
    </w:p>
    <w:p>
      <w:r>
        <w:rPr>
          <w:rFonts w:ascii="Arial" w:hAnsi="Arial"/>
          <w:b w:val="0"/>
          <w:i w:val="0"/>
          <w:color w:val="000000"/>
          <w:sz w:val="22"/>
        </w:rPr>
        <w:t>I am excited to apply for the AI Engineer role at PwC, where I can contribute to building and deploying AI and machine learning solutions at scale within the Internal Firm Services practice. With over four years of hands-on experience delivering production ML systems, including RAG pipelines, computer-vision applications, and agentic workflows, I am well positioned to help PwC transform complex data into actionable insights that drive business growth.</w:t>
      </w:r>
    </w:p>
    <w:p>
      <w:r>
        <w:rPr>
          <w:rFonts w:ascii="Arial" w:hAnsi="Arial"/>
          <w:b w:val="0"/>
          <w:i w:val="0"/>
          <w:color w:val="000000"/>
          <w:sz w:val="22"/>
        </w:rPr>
        <w:t>In my role as a Generative AI Engineer Intern at G5 Infotech, I benchmarked multiple RAG chunking strategies using LangChain and Hugging Face, evaluating precision, recall, and MRR metrics to achieve a ~30% reduction in retrieval latency in production. I also tuned Pinecone vector-database configurations and context-window management to deliver ~22% faster average response times, demonstrating my ability to optimize end-to-end LLM pipelines for scalable, enterprise-grade deployment. These experiences align directly with PwC's focus on building AI platforms that operate reliably at scale.</w:t>
      </w:r>
    </w:p>
    <w:p>
      <w:r>
        <w:rPr>
          <w:rFonts w:ascii="Arial" w:hAnsi="Arial"/>
          <w:b w:val="0"/>
          <w:i w:val="0"/>
          <w:color w:val="000000"/>
          <w:sz w:val="22"/>
        </w:rPr>
        <w:t>As a Graduate Research Assistant at Stevens Institute of Technology, I designed and deployed a real-time multi-modal AI application using Kotlin, OpenCV, and the Camera2 API, and conducted rigorous quantitative evaluation across 25 participants that demonstrated a 68% efficiency gain. This work culminated in a first-author peer-reviewed publication at ACM SIGACCESS ASSETS 2025, reflecting my commitment to research-backed, production-quality AI engineering. Additionally, at CircleZapp, I prototyped and A/B-tested collaborative filtering models against live behavioral data, lifting click-through rates by 12% and directly informing product releases — illustrating my ability to translate algorithmic work into measurable business impact.</w:t>
      </w:r>
    </w:p>
    <w:p>
      <w:r>
        <w:rPr>
          <w:rFonts w:ascii="Arial" w:hAnsi="Arial"/>
          <w:b w:val="0"/>
          <w:i w:val="0"/>
          <w:color w:val="000000"/>
          <w:sz w:val="22"/>
        </w:rPr>
        <w:t>I am drawn to PwC because of its scale, its emphasis on responsible AI, and its focus on delivering AI solutions that create real business value for clients. I am confident that my background in generative AI, retrieval-augmented generation, and applied machine learning, combined with my experience working in cross-functional teams and communicating technical findings to diverse stakeholders, makes me a strong fit for this Senior Associate role. I would welcome the opportunity to discuss how my experience can contribute to PwC's AI engineering mission.</w:t>
      </w:r>
    </w:p>
    <w:p/>
    <w:p>
      <w:r>
        <w:rPr>
          <w:rFonts w:ascii="Arial" w:hAnsi="Arial"/>
          <w:b w:val="0"/>
          <w:i w:val="0"/>
          <w:color w:val="000000"/>
          <w:sz w:val="22"/>
        </w:rPr>
        <w:t>Sincerely,</w:t>
      </w:r>
    </w:p>
    <w:p>
      <w:r>
        <w:rPr>
          <w:rFonts w:ascii="Arial" w:hAnsi="Arial"/>
          <w:b w:val="0"/>
          <w:i w:val="0"/>
          <w:color w:val="000000"/>
          <w:sz w:val="22"/>
        </w:rPr>
        <w:t>Srikala Sandu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