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Machine Learning Engineer with 4+ years delivering production ML systems, including RAG pipelines, computer-vision applications, and end-to-end model development. Designed and benchmarked retrieval-augmented generation pipelines that cut latency by ~30% and authored a peer-reviewed paper on multi-modal AI at ACM SIGACCESS ASSETS 2025. Proficient in Python, PyTorch, scikit-learn, LangChain, and cloud infrastructure with a strong foundation in statistical methods and scalable model validation.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R, SQL, C++, PyTorch, TensorFlow, scikit-learn, XGBoost, OpenCV, NLP, Computer Vision, Multi-Modal AI (VLMs, OCR), LangChain, LlamaIndex, Hugging Face, RAG, Agentic Workflows, Prompt Engineering, RAGAS, DeepEval, FastAPI, Docker, Kubernetes, AWS, CI/CD, Jupyter Notebook, MongoDB, Firebase, API Integration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 to achieve ~30% retrieval latency reduction in production — demonstrating rigorous model evaluation and analytical workflow review.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through systematic performance analysis and iterative optimization.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Applied quantitative benchmarking methodology to assess scalability and real-world alignment of GenAI solutions, ensuring technical soundness across production ML pipelines.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measuring mappability (87%), start-point accuracy (74%), and within-box accuracy (54%) across 25 blind participants; conducted Likert-scale usability analysis in R, achieving a 68% efficiency gain — exemplifying rigorous statistical validation of ML model outputs.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Android application using Kotlin, OpenCV 4.9, and Camera2 API for real-time form-field detection via Canny edge detection, contour analysis, and perspective warp, delivering a scalable computer-vision solution validated on real-world users.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2025, demonstrating expertise in advanced ML research and technical communication.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model variants against live behavioral data, lifting click-through rate by 12% in holdout tests — directly informing 2 product feature releases through data-driven model evaluation.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Six Degrees of Separation graph algorithm using NetworkX and optimized graph indexing to cut average match latency from 800ms to 340ms, demonstrating scalable algorithm design and performance engineering.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Validated analytical workflows for a preference-matching chatbot across 10,000+ active accounts, ensuring solutions were technically sound and aligned with real-world business use cases.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