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 and computer-vision applications. Designed and benchmarked retrieval-augmented generation pipelines that reduced retrieval latency by ~30% and published first-author peer-reviewed research on multi-modal AI at ACM SIGACCESS ASSETS 2025. Proficient in Python, LangChain, PyTorch, and AWS cloud services, with hands-on experience building and deploying AI/ML solutions at scale.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PyTorch, TensorFlow, scikit-learn, XGBoost, LangChain, LangGraph, LlamaIndex, Hugging Face, RAG, Agentic Workflows, Prompt Engineering, RAGAS, DeepEval, NLP, Computer Vision, Multi-Modal AI (VLMs, OCR), OpenCV, AWS, Docker, Kubernetes, FastAPI, CI/CD, SQL, MongoDB, API Integration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Infotech, Remote, USA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prompt engineering and retrieval optimization techniques to improve end-to-end LLM pipeline performance for scalable deployment.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Technology, Hoboken, USA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Android app using Kotlin, OpenCV 4.9, and Camera2 API for Vuzix M400 smart glasses, performing real-time form-field detection via Canny edge detection, contour analysis, and perspective warp.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evaluated across 25 blind participants, achieving a 68% efficiency gain; conducted Likert-scale usability analysis in R.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CircleZapp, Remote, USA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preference chatbot and a Six Degrees of Separation graph algorithm using NetworkX to match users across 10,000+ active accounts by shared interests, location, and community.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cut average match latency from 800ms to 340ms, delivering both features within 3 months.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and directly shaping 2 product feature releases.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