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i w:val="0"/>
          <w:color w:val="000000"/>
          <w:sz w:val="22"/>
        </w:rPr>
        <w:t>Srikala Sandu</w:t>
      </w:r>
    </w:p>
    <w:p>
      <w:r>
        <w:rPr>
          <w:rFonts w:ascii="Arial" w:hAnsi="Arial"/>
          <w:b w:val="0"/>
          <w:i w:val="0"/>
          <w:color w:val="000000"/>
          <w:sz w:val="22"/>
        </w:rPr>
        <w:t>Jersey City, NJ | sandusrikala@gmail.com | +1 (551) 554-1160</w:t>
      </w:r>
    </w:p>
    <w:p/>
    <w:p>
      <w:r>
        <w:rPr>
          <w:rFonts w:ascii="Arial" w:hAnsi="Arial"/>
          <w:b w:val="0"/>
          <w:i w:val="0"/>
          <w:color w:val="000000"/>
          <w:sz w:val="22"/>
        </w:rPr>
        <w:t>Hiring Team, Capital One</w:t>
      </w:r>
    </w:p>
    <w:p>
      <w:r>
        <w:rPr>
          <w:rFonts w:ascii="Arial" w:hAnsi="Arial"/>
          <w:b w:val="0"/>
          <w:i w:val="0"/>
          <w:color w:val="000000"/>
          <w:sz w:val="22"/>
        </w:rPr>
        <w:t>Re: Lead AI Engineer (IFX), Pimmit, Fairfax County</w:t>
      </w:r>
    </w:p>
    <w:p/>
    <w:p>
      <w:r>
        <w:rPr>
          <w:rFonts w:ascii="Arial" w:hAnsi="Arial"/>
          <w:b w:val="0"/>
          <w:i w:val="0"/>
          <w:color w:val="000000"/>
          <w:sz w:val="22"/>
        </w:rPr>
        <w:t>Dear Hiring Team,</w:t>
      </w:r>
    </w:p>
    <w:p>
      <w:r>
        <w:rPr>
          <w:rFonts w:ascii="Arial" w:hAnsi="Arial"/>
          <w:b w:val="0"/>
          <w:i w:val="0"/>
          <w:color w:val="000000"/>
          <w:sz w:val="22"/>
        </w:rPr>
        <w:t>Capital One's commitment to building responsible, reliable AI systems that deliver real-time personalized experiences aligns closely with the work I have been doing over the past four years. As an AI Engineer with hands-on experience designing and benchmarking production RAG pipelines, building agentic workflows, and publishing peer-reviewed research on multi-modal AI, I am excited to bring that depth to a Lead AI Engineer role on the IFX team.</w:t>
      </w:r>
    </w:p>
    <w:p>
      <w:r>
        <w:rPr>
          <w:rFonts w:ascii="Arial" w:hAnsi="Arial"/>
          <w:b w:val="0"/>
          <w:i w:val="0"/>
          <w:color w:val="000000"/>
          <w:sz w:val="22"/>
        </w:rPr>
        <w:t>In my most recent role as a Generative AI Engineer Intern at G5 Infotech, I benchmarked multiple RAG chunking strategies using LangChain and Hugging Face across precision, recall, and MRR dimensions, achieving approximately 30% retrieval latency reduction in production. I also tuned Pinecone vector-DB configuration and context-window management for an additional ~22% improvement in average response time, and applied RAGAS and DeepEval to systematically measure and iterate on pipeline quality — exactly the kind of rigorous, measurement-driven approach responsible AI development demands.</w:t>
      </w:r>
    </w:p>
    <w:p>
      <w:r>
        <w:rPr>
          <w:rFonts w:ascii="Arial" w:hAnsi="Arial"/>
          <w:b w:val="0"/>
          <w:i w:val="0"/>
          <w:color w:val="000000"/>
          <w:sz w:val="22"/>
        </w:rPr>
        <w:t>As a Graduate Research Assistant at Stevens Institute of Technology, I designed and validated a multi-modal AI pipeline integrating VLMs and OCR for an assistive technology application, ultimately publishing first-author research at ACM SIGACCESS ASSETS 2025. This experience deepened my appreciation for building AI systems that are not only accurate but equitable and user-centered. At CircleZapp, I applied collaborative filtering and graph-based recommendation algorithms at scale across 10,000+ active accounts, using A/B testing to lift click-through rate by 12% and directly influence product decisions — demonstrating my ability to translate ML research into measurable business outcomes.</w:t>
      </w:r>
    </w:p>
    <w:p>
      <w:r>
        <w:rPr>
          <w:rFonts w:ascii="Arial" w:hAnsi="Arial"/>
          <w:b w:val="0"/>
          <w:i w:val="0"/>
          <w:color w:val="000000"/>
          <w:sz w:val="22"/>
        </w:rPr>
        <w:t>I am drawn to Capital One because of its industry-leading investment in ML infrastructure and its clear emphasis on AI that is both powerful and trustworthy. I would welcome the opportunity to contribute to that mission by leading the design of reliable, production-grade AI systems that improve customer experiences at scale.</w:t>
      </w:r>
    </w:p>
    <w:p/>
    <w:p>
      <w:r>
        <w:rPr>
          <w:rFonts w:ascii="Arial" w:hAnsi="Arial"/>
          <w:b w:val="0"/>
          <w:i w:val="0"/>
          <w:color w:val="000000"/>
          <w:sz w:val="22"/>
        </w:rPr>
        <w:t>Sincerely,</w:t>
      </w:r>
    </w:p>
    <w:p>
      <w:r>
        <w:rPr>
          <w:rFonts w:ascii="Arial" w:hAnsi="Arial"/>
          <w:b w:val="0"/>
          <w:i w:val="0"/>
          <w:color w:val="000000"/>
          <w:sz w:val="22"/>
        </w:rPr>
        <w:t>Srikala Sandu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