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Kforce Technology Staffing</w:t>
      </w:r>
    </w:p>
    <w:p>
      <w:r>
        <w:rPr>
          <w:rFonts w:ascii="Arial" w:hAnsi="Arial"/>
          <w:b w:val="0"/>
          <w:i w:val="0"/>
          <w:color w:val="000000"/>
          <w:sz w:val="22"/>
        </w:rPr>
        <w:t>Re: AI Engineers, Doral, Miami-Dade County</w:t>
      </w:r>
    </w:p>
    <w:p/>
    <w:p>
      <w:r>
        <w:rPr>
          <w:rFonts w:ascii="Arial" w:hAnsi="Arial"/>
          <w:b w:val="0"/>
          <w:i w:val="0"/>
          <w:color w:val="000000"/>
          <w:sz w:val="22"/>
        </w:rPr>
        <w:t>Dear Hiring Team,</w:t>
      </w:r>
    </w:p>
    <w:p>
      <w:r>
        <w:rPr>
          <w:rFonts w:ascii="Arial" w:hAnsi="Arial"/>
          <w:b w:val="0"/>
          <w:i w:val="0"/>
          <w:color w:val="000000"/>
          <w:sz w:val="22"/>
        </w:rPr>
        <w:t>I am excited to apply for the AI Engineer role with Kforce's client in Doral, FL. With 4+ years of hands-on experience delivering production AI systems end to end — spanning RAG pipelines, agentic workflows, infrastructure, and CI/CD — I am well positioned to own application delivery in an AI-delegated development model and ensure that solutions are operationally ready and aligned to business intent.</w:t>
      </w:r>
    </w:p>
    <w:p>
      <w:r>
        <w:rPr>
          <w:rFonts w:ascii="Arial" w:hAnsi="Arial"/>
          <w:b w:val="0"/>
          <w:i w:val="0"/>
          <w:color w:val="000000"/>
          <w:sz w:val="22"/>
        </w:rPr>
        <w:t>In my role as a Generative AI Engineer Intern at G5 Infotech, I owned the full delivery lifecycle of retrieval-augmented generation pipelines, benchmarking chunking strategies using LangChain and Hugging Face that achieved a ~30% reduction in retrieval latency in production. I also tuned Pinecone vector-DB configuration and context-window management to yield ~22% faster average response times — demonstrating accountability for both correctness of implementation and operational performance. These experiences map directly to the responsibilities of directing AI coding agents to generate and evolve technical solutions while ensuring production readiness.</w:t>
      </w:r>
    </w:p>
    <w:p>
      <w:r>
        <w:rPr>
          <w:rFonts w:ascii="Arial" w:hAnsi="Arial"/>
          <w:b w:val="0"/>
          <w:i w:val="0"/>
          <w:color w:val="000000"/>
          <w:sz w:val="22"/>
        </w:rPr>
        <w:t>As a Graduate Research Assistant at Stevens Institute of Technology, I built and deployed an end-to-end Android application on Vuzix M400 smart glasses using Kotlin, OpenCV, and Camera2 API, taking full ownership from on-device inference to usability evaluation with 25 blind participants. This work resulted in a 68% efficiency gain and a first-author publication at ACM SIGACCESS ASSETS 2025, reflecting my ability to deliver complex AI solutions with rigor and measurable impact. Earlier, at Certes Networks, I Dockerized deployment pipelines to improve CI/CD consistency and refactored high-throughput backend modules to achieve 20% efficiency improvement at 99.8% uptime — demonstrating the infrastructure and observability ownership this role requires.</w:t>
      </w:r>
    </w:p>
    <w:p>
      <w:r>
        <w:rPr>
          <w:rFonts w:ascii="Arial" w:hAnsi="Arial"/>
          <w:b w:val="0"/>
          <w:i w:val="0"/>
          <w:color w:val="000000"/>
          <w:sz w:val="22"/>
        </w:rPr>
        <w:t>I am confident that my combination of GenAI/LLMOps expertise, full-stack application delivery experience, and hands-on CI/CD and cloud infrastructure skills makes me a strong fit for this position. I would welcome the opportunity to discuss how I can contribute to your client's AI engineering initiatives.</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