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Litmus7 Systems Consulting Inc.</w:t>
      </w:r>
    </w:p>
    <w:p>
      <w:r>
        <w:rPr>
          <w:rFonts w:ascii="Arial" w:hAnsi="Arial"/>
          <w:b w:val="0"/>
          <w:i w:val="0"/>
          <w:color w:val="000000"/>
          <w:sz w:val="22"/>
        </w:rPr>
        <w:t>Re: AI Engineer, US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AI Agentic Developer role at Litmus7 Systems Consulting Inc. With over four years of hands-on experience building production ML and GenAI systems, I bring deep expertise in agentic workflows, retrieval-augmented generation, and multi-modal AI that directly aligns with your team's mission to reimagine next-generation AI-powered experiences. My work spans the full lifecycle of AI development, from pipeline design and benchmarking to deployment and evaluation in real-world environments.</w:t>
      </w:r>
    </w:p>
    <w:p>
      <w:r>
        <w:rPr>
          <w:rFonts w:ascii="Arial" w:hAnsi="Arial"/>
          <w:b w:val="0"/>
          <w:i w:val="0"/>
          <w:color w:val="000000"/>
          <w:sz w:val="22"/>
        </w:rPr>
        <w:t>During my tenure as a Generative AI Engineer Intern at G5 Infotech, I benchmarked multiple RAG chunking strategies using LangChain and Hugging Face, achieving approximately 30% retrieval latency reduction in production, and further reduced average response times by ~22% through Pinecone vector-DB tuning and context-window optimization. I also designed and evaluated end-to-end agentic retrieval workflows, applying structured prompt engineering to maximize LLM response quality at scale. These experiences gave me direct, production-validated proficiency in the LLMOps toolchain — LangChain, LangGraph, LlamaIndex, RAGAS, and DeepEval — that your role demands.</w:t>
      </w:r>
    </w:p>
    <w:p>
      <w:r>
        <w:rPr>
          <w:rFonts w:ascii="Arial" w:hAnsi="Arial"/>
          <w:b w:val="0"/>
          <w:i w:val="0"/>
          <w:color w:val="000000"/>
          <w:sz w:val="22"/>
        </w:rPr>
        <w:t>As a Graduate Research Assistant at Stevens Institute of Technology, I led the development of a multi-modal AI application for smart glasses using Kotlin, OpenCV, and Camera2 API, culminating in a first-author peer-reviewed publication at ACM SIGACCESS ASSETS 2025. Additionally, at CircleZapp, I built and A/B-tested collaborative filtering and NLP-driven chatbot features at scale, lifting click-through rates by 12% and cutting match latency by more than half, demonstrating my ability to translate AI research into measurable product outcomes.</w:t>
      </w:r>
    </w:p>
    <w:p>
      <w:r>
        <w:rPr>
          <w:rFonts w:ascii="Arial" w:hAnsi="Arial"/>
          <w:b w:val="0"/>
          <w:i w:val="0"/>
          <w:color w:val="000000"/>
          <w:sz w:val="22"/>
        </w:rPr>
        <w:t>I am drawn to Litmus7's commitment to empowering teams and celebrating innovation, and I am eager to bring my agentic AI, RAG, and multi-modal expertise to help build transformative customer experiences. I would welcome the opportunity to discuss how my background aligns with your vision and contribute to your next-generation AI initiatives.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