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Rivago infotech inc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Highland Park, Dallas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– AI Foundations and Platform Enablement role at Rivago Infotech. My background spans production RAG systems, agentic orchestration, and multi-modal AI pipelines, directly aligned with the foundational platform work your team is driving across MCP gateways, orchestration, caching, and telemetry. I hold certifications in agentic AI architectures, LangGraph-based agent systems, MCP and Agent2Agent (A2A) protocols, and AWS AI/ML engineering, and I am eager to bring these skills to bear building secure, reusable AI patterns at scale.</w:t>
      </w:r>
    </w:p>
    <w:p>
      <w:r>
        <w:rPr>
          <w:rFonts w:ascii="Arial" w:hAnsi="Arial"/>
          <w:b w:val="0"/>
          <w:i w:val="0"/>
          <w:color w:val="000000"/>
          <w:sz w:val="22"/>
        </w:rPr>
        <w:t>At G5 Infotech, I benchmarked multiple RAG chunking strategies — fixed-size, semantic, and recursive — using LangChain and Hugging Face, establishing repeatable evaluation baselines with RAGAS and DeepEval that reduced retrieval latency by approximately 30% in production. I also tuned Pinecone vector-DB configuration and context-window management, achieving a further 22% improvement in average response time. These experiences give me a strong foundation for designing the retrieval and caching layers central to this role.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architected an end-to-end multi-modal AI proof of concept — combining OpenCV, on-device inference, and a Kotlin/Camera2 pipeline — that was validated across 25 participants and published as a first-author paper at ACM SIGACCESS ASSETS 2025. This work demonstrates my ability to take AI use cases from POC through rigorous evaluation to published, production-quality results. At CircleZapp, I further sharpened my platform thinking by optimizing a graph-based matching system for 10,000+ users, cutting latency from 800ms to 340ms, and A/B-testing collaborative filtering variants that directly influenced product releases.</w:t>
      </w:r>
    </w:p>
    <w:p>
      <w:r>
        <w:rPr>
          <w:rFonts w:ascii="Arial" w:hAnsi="Arial"/>
          <w:b w:val="0"/>
          <w:i w:val="0"/>
          <w:color w:val="000000"/>
          <w:sz w:val="22"/>
        </w:rPr>
        <w:t>I am drawn to Rivago Infotech's focus on building foundational, reusable AI platform layers — the kind of infrastructure work that multiplies the impact of every use case built on top of it. I would welcome the opportunity to contribute to your team in Dallas and help design orchestration and security patterns that make enterprise AI both scalable and trustworthy.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