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 and large-scale recommendation features. Benchmarked retrieval-augmented generation pipelines achieving ~30% latency reduction and published first-author research on multi-modal AI at ACM SIGACCESS ASSETS 2025. Proficient in Python, LangChain, LlamaIndex, PyTorch, and AWS, with hands-on experience building agentic workflows and responsible AI evaluation frameworks.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LlamaIndex, LangGraph, RAG, Agentic Workflows, Prompt Engineering, RAGAS, DeepEval, Hugging Face, PyTorch, TensorFlow, scikit-learn, XGBoost, NLP, Computer Vision, Multi-Modal AI (VLMs, OCR), AWS, Docker, Kubernetes, FastAPI, CI/CD, SQL, MongoDB, OpenCV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production queries.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RAGAS and DeepEval evaluation frameworks to quantify retrieval and generation quality, enabling data-driven iteration on pipeline configuration.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across 25 blind participants, conducting Likert-scale usability analysis in R and achieving a 68% efficiency gain; authored a first-author peer-reviewed paper published at ACM SIGACCESS ASSETS 2025.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real-time computer-vision Android application using Kotlin, OpenCV 4.9, and Camera2 API for Vuzix M400 smart glasses, performing on-device form-field detection via Canny edge detection, contour analysis, and perspective warp.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validated a multi-modal AI pipeline integrating VLMs and OCR for assistive technology, demonstrating responsible AI principles applied to an accessibility use case.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Six Degrees of Separation graph algorithm using NetworkX to match users across 10,000+ active accounts by shared interests, location, and community, optimizing graph indexing to cut average match latency from 800ms to 340ms.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deployed an NLP-powered preference chatbot end-to-end, integrating real-time behavioral signals to personalize user matching at scale.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