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real-time computer-vision applications. Experienced in building responsible, reliable AI in Python, LangChain, PyTorch, and cloud-native infrastructure (AWS, Docker, Kubernetes). Published first-author researcher at ACM SIGACCESS ASSETS 2025, with a track record of reducing latency, improving accuracy, and shipping AI features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LangChain, LangGraph, LlamaIndex, Hugging Face, RAG, Agentic Workflows, Prompt Engineering, RAGAS, DeepEval, OpenCV, NLP, Computer Vision, Multi-Modal AI (VLMs, OCR), AWS, Docker, Kubernetes, FastAPI, CI/CD, SQL, MongoDB,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queries.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evaluation frameworks (RAGAS, DeepEval) to iteratively improve pipeline reliability and output quality.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Android application using Kotlin, OpenCV 4.9, and Camera2 API, applying edge detection, contour analysis, and perspective warp for on-device form-field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conducting statistical usability analysis in R and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accounts, optimizing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Delivered an NLP-based preference chatbot and matching features end-to-end within 3 months, demonstrating rapid, responsible AI feature deployment in a production environment.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