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end-to-end application delivery across infrastructure and CI/CD. Experienced in directing AI-assisted development pipelines, benchmarking retrieval-augmented generation systems that reduced latency by ~30%, and publishing peer-reviewed research at ACM SIGACCESS ASSETS 2025. Proficient in Python, LangChain, LangGraph, Docker, Kubernetes, AWS, and FastAPI.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RAGAS, DeepEval, Hugging Face, FastAPI, Docker, Kubernetes, AWS, CI/CD, PyTorch, TensorFlow, scikit-learn, OpenCV, NLP, Computer Vision, Multi-Modal AI (VLMs, OCR), SQL, MongoDB,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time, ensuring operationally ready and observable AI solutions.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Owned end-to-end delivery of retrieval pipeline changes, validating alignment between business intent and implemented AI behavior across evaluation and deployment stages.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and deployed an end-to-end Android application using Kotlin, OpenCV 4.9, and Camera2 API on Vuzix M400 smart glasses, owning full application delivery from on-device inference to usability validation.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conducting Likert-scale usability analysis in R and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Backend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Certes Networks   April 2022 - April 2023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Dockerized deployment pipelines for encryption hardware software, streamlining CI/CD builds and improving deployment consistency across environments.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Refactored 5+ high-throughput backend modules, improving encryption efficiency by 20% while sustaining 99.8% uptime, demonstrating ownership of operationally ready software delivery.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Identified and resolved a critical bug causing legacy Certes End Points to silently fail encryption, preventing undetected data exposure across deployed devices.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