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computer-vision applications. Designed and benchmarked retrieval-augmented generation pipelines that cut latency by ~30% and authored a peer-reviewed paper on multi-modal AI at ACM SIGACCESS ASSETS 2025. Proficient in Python, LangChain, LangGraph, LlamaIndex, and cloud services, with hands-on experience building agentic and GenAI systems end to end.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RAG, Agentic Workflows, Prompt Engineering, Hugging Face, RAGAS, DeepEval, OpenCV, Multi-Modal AI (VLMs, OCR), NLP, Computer Vision, PyTorch, TensorFlow, scikit-learn, AWS, FastAPI, Docker, Kubernetes, CI/CD, MongoDB, Firebase, React.js, Node.js, SQL, JavaScript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precision/recall/MRR and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evaluated end-to-end agentic retrieval workflows, applying prompt engineering best practices to optimize LLM response quality across production pipelines.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 using Kotlin, OpenCV 4.9, and Camera2 API for Vuzix M400 smart glasses, performing real-time form-field detection via Canny edge detection, contour analysis, and perspective warp for on-device document processing.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blind participants, achieving a 68% efficiency gain; conducted Likert-scale usability analysis in 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This-or-That preference chatbot and a Six Degrees of Separation graph algorithm using NetworkX to match users by shared interests, location, school, and community across 10,000+ active accounts.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features within 3 months.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