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agentic workflows, RAG pipelines, and multi-modal AI applications. Designed and benchmarked retrieval-augmented generation pipelines that cut latency by ~30% and published first-author research on multi-modal AI at ACM SIGACCESS ASSETS 2025. Proficient in Python, LangChain, LangGraph, Hugging Face, and AWS cloud services, with hands-on experience building AI agents, copilots, and end-to-end prototypes.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LangChain, LangGraph, LlamaIndex, Hugging Face, RAG, Agentic Workflows, Prompt Engineering, RAGAS, DeepEval, OpenCV, Multi-Modal AI (VLMs, OCR), NLP, Computer Vision, PyTorch, TensorFlow, scikit-learn, AWS, FastAPI, Docker, Kubernetes, CI/CD, API Integration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precision/recall/MRR and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across agentic query pipelines.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Applied prompt engineering and retrieval optimization techniques to prototype and validate AI-native solution designs aligned with business priorities.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and prototyped a multi-modal AI application for Vuzix M400 smart glasses using Kotlin, OpenCV 4.9, and Camera2 API, performing real-time on-device form-field detection via computer vision techniques.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evaluated across 25 participants, achieving a 68% efficiency gain and validating the proof-of-concept through rigorous usability analysis in R.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NLP-powered This-or-That preference chatbot and a Six Degrees of Separation graph algorithm using NetworkX to match users across 10,000+ active accounts, delivering both features within 3 months.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in holdout tests; findings directly shaped 2 product feature releases.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cut average match latency from 800ms to 340ms, demonstrating end-to-end ownership from prototype through production deployment.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