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real-time computer-vision applications. Benchmarked retrieval-augmented generation pipelines achieving ~30% latency reduction and authored a peer-reviewed paper at ACM SIGACCESS ASSETS 2025. Proficient in LangChain, LangGraph, LlamaIndex, FastAPI, Docker, Kubernetes, and AWS, with hands-on experience building secure, scalable AI platform components.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RAGAS, DeepEval, Hugging Face, OpenCV, Multi-Modal AI (VLMs, OCR), NLP, Computer Vision, PyTorch, TensorFlow, scikit-learn, FastAPI, Docker, Kubernetes, AWS, CI/CD, MongoDB, Firebase, SQL,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— directly informing reusable platform patterns for retrieval-augmented generation.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retrieval-pipeline optimizations to improve response consistency, establishing repeatable evaluation baselines using RAGAS and DeepEval.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 multi-modal AI pipeline combining OpenCV 4.9, Canny edge detection, contour analysis, and perspective warp in a Kotlin/Camera2 Android app for real-time on-device form-field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 IoU-based spatial accuracy algorithm evaluated across 25 participants, achieving a 68% efficiency gain; conducted Likert-scale usability analysis in R — findings published as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Architected end-to-end proof-of-concept demonstrating secure, on-device AI inference for assistive technology, validating scalable multi-modal orchestration patterns applicable to enterprise platform enablement.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10,000+ active users by shared interests, location, and community; optimized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shaping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deployed an NLP-powered preference chatbot, integrating behavioral data pipelines and iterative prompt tuning to deliver personalized, low-latency recommendations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