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000000"/>
          <w:sz w:val="22"/>
        </w:rPr>
        <w:t>Srikala Sandu</w:t>
      </w:r>
    </w:p>
    <w:p>
      <w:r>
        <w:rPr>
          <w:rFonts w:ascii="Arial" w:hAnsi="Arial"/>
          <w:b w:val="0"/>
          <w:i w:val="0"/>
          <w:color w:val="000000"/>
          <w:sz w:val="22"/>
        </w:rPr>
        <w:t>Jersey City, NJ | sandusrikala@gmail.com | +1 (551) 554-1160</w:t>
      </w:r>
    </w:p>
    <w:p/>
    <w:p>
      <w:r>
        <w:rPr>
          <w:rFonts w:ascii="Arial" w:hAnsi="Arial"/>
          <w:b w:val="0"/>
          <w:i w:val="0"/>
          <w:color w:val="000000"/>
          <w:sz w:val="22"/>
        </w:rPr>
        <w:t>Hiring Team, PwC</w:t>
      </w:r>
    </w:p>
    <w:p>
      <w:r>
        <w:rPr>
          <w:rFonts w:ascii="Arial" w:hAnsi="Arial"/>
          <w:b w:val="0"/>
          <w:i w:val="0"/>
          <w:color w:val="000000"/>
          <w:sz w:val="22"/>
        </w:rPr>
        <w:t>Re: AI Engineer, Strathmoor Manor, Jefferson County</w:t>
      </w:r>
    </w:p>
    <w:p/>
    <w:p>
      <w:r>
        <w:rPr>
          <w:rFonts w:ascii="Arial" w:hAnsi="Arial"/>
          <w:b w:val="0"/>
          <w:i w:val="0"/>
          <w:color w:val="000000"/>
          <w:sz w:val="22"/>
        </w:rPr>
        <w:t>Dear Hiring Team,</w:t>
      </w:r>
    </w:p>
    <w:p>
      <w:r>
        <w:rPr>
          <w:rFonts w:ascii="Arial" w:hAnsi="Arial"/>
          <w:b w:val="0"/>
          <w:i w:val="0"/>
          <w:color w:val="000000"/>
          <w:sz w:val="22"/>
        </w:rPr>
        <w:t>I am excited to apply for the AI Engineer role at PwC, where I can contribute to building and deploying AI and ML-based solutions at scale within your Internal Firm Services practice. With 4+ years of hands-on experience delivering production ML systems — including RAG pipelines, computer-vision applications, and agentic workflows — I bring both the technical depth and the end-to-end engineering mindset needed to transform raw data into actionable business insights.</w:t>
      </w:r>
    </w:p>
    <w:p>
      <w:r>
        <w:rPr>
          <w:rFonts w:ascii="Arial" w:hAnsi="Arial"/>
          <w:b w:val="0"/>
          <w:i w:val="0"/>
          <w:color w:val="000000"/>
          <w:sz w:val="22"/>
        </w:rPr>
        <w:t>In my most recent role as a Generative AI Engineer Intern at G5 Infotech, I benchmarked multiple RAG chunking strategies using LangChain and Hugging Face, evaluating retrieval precision, recall, and MRR to achieve a ~30% reduction in production latency and a ~22% improvement in average response time through targeted vector-database tuning. This experience gave me direct exposure to the full LLMOps lifecycle — from pipeline design and prompt engineering through evaluation using frameworks like RAGAS and DeepEval — which maps directly to PwC's goal of building scalable, reliable AI platforms.</w:t>
      </w:r>
    </w:p>
    <w:p>
      <w:r>
        <w:rPr>
          <w:rFonts w:ascii="Arial" w:hAnsi="Arial"/>
          <w:b w:val="0"/>
          <w:i w:val="0"/>
          <w:color w:val="000000"/>
          <w:sz w:val="22"/>
        </w:rPr>
        <w:t>As a Graduate Research Assistant at Stevens Institute of Technology, I designed and deployed a real-time computer-vision system on Vuzix M400 smart glasses using Kotlin, OpenCV 4.9, and on-device ML inference, then rigorously evaluated its performance with a custom IoU-based spatial accuracy algorithm and Likert-scale usability analysis in R, achieving a 68% efficiency gain across 25 participants. This work resulted in a first-author peer-reviewed publication at ACM SIGACCESS ASSETS 2025, reflecting my ability to combine rigorous scientific methodology with practical software engineering. At CircleZapp, I further demonstrated my capacity to deliver algorithmic solutions at scale by A/B-testing collaborative filtering models against live behavioral data, lifting click-through rate by 12%, and optimizing a graph-matching system serving 10,000+ active users — experience that directly informs data-driven product development.</w:t>
      </w:r>
    </w:p>
    <w:p>
      <w:r>
        <w:rPr>
          <w:rFonts w:ascii="Arial" w:hAnsi="Arial"/>
          <w:b w:val="0"/>
          <w:i w:val="0"/>
          <w:color w:val="000000"/>
          <w:sz w:val="22"/>
        </w:rPr>
        <w:t>I am drawn to PwC because of the opportunity to apply AI and ML at enterprise scale, mentoring teams while solving complex, ambiguous problems with measurable business impact. My background spanning generative AI, classical ML, cloud infrastructure (AWS, Docker, Kubernetes), and rigorous evaluation methodologies positions me to contribute immediately and grow into greater responsibility within your practice. I would welcome the opportunity to discuss how my experience aligns with PwC's AI engineering goals.</w:t>
      </w:r>
    </w:p>
    <w:p/>
    <w:p>
      <w:r>
        <w:rPr>
          <w:rFonts w:ascii="Arial" w:hAnsi="Arial"/>
          <w:b w:val="0"/>
          <w:i w:val="0"/>
          <w:color w:val="000000"/>
          <w:sz w:val="22"/>
        </w:rPr>
        <w:t>Sincerely,</w:t>
      </w:r>
    </w:p>
    <w:p>
      <w:r>
        <w:rPr>
          <w:rFonts w:ascii="Arial" w:hAnsi="Arial"/>
          <w:b w:val="0"/>
          <w:i w:val="0"/>
          <w:color w:val="000000"/>
          <w:sz w:val="22"/>
        </w:rPr>
        <w:t>Srikala Sandu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