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Capital One</w:t>
      </w:r>
    </w:p>
    <w:p>
      <w:r>
        <w:rPr>
          <w:rFonts w:ascii="Arial" w:hAnsi="Arial"/>
          <w:b w:val="0"/>
          <w:i w:val="0"/>
          <w:color w:val="000000"/>
          <w:sz w:val="22"/>
        </w:rPr>
        <w:t>Re: Senior Machine Learning Engineer, Plano, Collin County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Senior Machine Learning Engineer role at Capital One. With over four years of hands-on experience designing, building, and deploying production ML systems — spanning retrieval-augmented generation pipelines, real-time computer-vision applications, and agentic workflows — I am confident I can contribute meaningfully to Capital One's Agile ML engineering teams and help scale machine learning applications with rigor and reliability.</w:t>
      </w:r>
    </w:p>
    <w:p>
      <w:r>
        <w:rPr>
          <w:rFonts w:ascii="Arial" w:hAnsi="Arial"/>
          <w:b w:val="0"/>
          <w:i w:val="0"/>
          <w:color w:val="000000"/>
          <w:sz w:val="22"/>
        </w:rPr>
        <w:t>In my role as a Generative AI Engineer at G5 Infotech, I benchmarked multiple RAG chunking strategies using LangChain and Hugging Face, evaluating retrieval quality through precision, recall, and MRR metrics, ultimately achieving a ~30% reduction in retrieval latency in production. I also tuned Pinecone vector-database configurations and context-window management to deliver ~22% faster average response times — the kind of systems-level thinking and measurable impact I look forward to bringing to Capital One's ML infrastructure. My familiarity with evaluation frameworks such as RAGAS and DeepEval ensures that model and pipeline quality is never an afterthought.</w:t>
      </w:r>
    </w:p>
    <w:p>
      <w:r>
        <w:rPr>
          <w:rFonts w:ascii="Arial" w:hAnsi="Arial"/>
          <w:b w:val="0"/>
          <w:i w:val="0"/>
          <w:color w:val="000000"/>
          <w:sz w:val="22"/>
        </w:rPr>
        <w:t>As a Graduate Research Assistant at Stevens Institute of Technology, I built a real-time computer-vision pipeline deployed on Vuzix M400 smart glasses, applying OpenCV, Kotlin, and Camera2 API to perform on-device form-field detection. I also designed and executed a 25-participant user study, performing statistical analysis in R and achieving a 68% efficiency gain — work that was recognized as a first-author publication at ACM SIGACCESS ASSETS 2025. Earlier, at Certes Networks, I hardened production backend systems in C++, Dockerized CI/CD pipelines, and refactored high-throughput modules to improve encryption efficiency by 20% at 99.8% uptime, giving me a strong foundation in the operational excellence and high-availability standards that Capital One's ML platform demands.</w:t>
      </w:r>
    </w:p>
    <w:p>
      <w:r>
        <w:rPr>
          <w:rFonts w:ascii="Arial" w:hAnsi="Arial"/>
          <w:b w:val="0"/>
          <w:i w:val="0"/>
          <w:color w:val="000000"/>
          <w:sz w:val="22"/>
        </w:rPr>
        <w:t>I am particularly drawn to Capital One's commitment to responsible, scalable AI and its culture of technical depth within Agile teams. I would welcome the opportunity to discuss how my background in productionizing ML systems, GenAI pipelines, and cloud-native infrastructure aligns with your team's roadmap. Thank you for your consideration.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