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AI/ML Engineer with 4+ years delivering production machine learning systems, including RAG pipelines, computer-vision applications, and large-scale graph algorithms. Experienced in designing, benchmarking, and deploying end-to-end ML systems using Python, PyTorch, LangChain, and AWS, with a track record of measurable latency reductions and accuracy improvements in production environments. Published first-author researcher at ACM SIGACCESS ASSETS 2025 with deep expertise in agentic workflows, LLMOps, and scalable ML architecture.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PyTorch, TensorFlow, scikit-learn, XGBoost, LangChain, LangGraph, LlamaIndex, RAG, Agentic Workflows, Prompt Engineering, RAGAS, DeepEval, Hugging Face, OpenCV, NLP, Computer Vision, Multi-Modal AI (VLMs, OCR), AWS, Docker, Kubernetes, FastAPI, CI/CD, SQL, MongoDB,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at scale.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Evaluated retrieval pipeline quality using RAGAS and DeepEval metrics, enabling data-driven architectural decisions for production LLM systems.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measuring mappability (87%), start-point accuracy (74%), and within-box accuracy (54%) across 25 participants; conducted statistical usability analysis in R, achieving a 68% efficiency gain.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real-time computer-vision application using Kotlin, OpenCV 4.9, and Camera2 API performing on-device form-field detection via Canny edge detection, contour analysis, and perspective warp.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at ACM SIGACCESS ASSETS 2025, demonstrating end-to-end ownership of an applied ML research and productionization pipeline.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 Six Degrees of Separation graph algorithm using NetworkX to match users across 10,000+ active accounts, optimizing graph indexing to cut average match latency from 800ms to 340ms.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Delivered a preference-learning chatbot and recommendation features end-to-end within a 3-month Agile development cycle, balancing model quality with production performance requirements.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