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AI/ML Engineer with 4+ years of experience productionizing machine learning systems, including RAG pipelines, computer-vision applications, and agentic workflows at scale. Designed and benchmarked retrieval-augmented generation pipelines achieving ~30% latency reduction and published first-author research on multi-modal AI at ACM SIGACCESS ASSETS 2025. Proficient in Python, PyTorch, LangChain, and AWS cloud infrastructure with hands-on experience in Docker, Kubernetes, and CI/CD for high-availability ML deployments.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PyTorch, TensorFlow, scikit-learn, XGBoost, LangChain, LangGraph, LlamaIndex, RAG, Agentic Workflows, Prompt Engineering, RAGAS, DeepEval, Hugging Face, OpenCV, NLP, Computer Vision, Multi-Modal AI (VLMs, OCR), AWS, Docker, Kubernetes, FastAPI, CI/CD, SQL, MongoDB, C++, Java, Python, API Integration, Linux, Jupyter Notebook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 to achieve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production workloads.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Evaluated retrieval pipeline quality using RAGAS and DeepEval frameworks, informing architectural decisions for scalable, high-availability GenAI systems.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participants, conducting Likert-scale usability analysis in R and achieving a 68% efficiency gain; findings published as first-author paper at ACM SIGACCESS ASSETS 2025.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real-time computer-vision Android application using Kotlin, OpenCV 4.9, and Camera2 API, implementing Canny edge detection, contour analysis, and perspective warp for on-device form-field detection.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multi-modal AI techniques (VLMs, OCR) in a production-grade assistive technology pipeline, demonstrating end-to-end ML system design from model selection through deployment and evaluation.</w:t>
      </w:r>
    </w:p>
    <w:p>
      <w:r>
        <w:rPr>
          <w:rFonts w:ascii="Arial" w:hAnsi="Arial"/>
          <w:b/>
          <w:i w:val="0"/>
          <w:color w:val="000000"/>
          <w:sz w:val="22"/>
        </w:rPr>
        <w:t>Backend Developer — Bangalore, India</w:t>
      </w:r>
    </w:p>
    <w:p>
      <w:r>
        <w:rPr>
          <w:rFonts w:ascii="Arial" w:hAnsi="Arial"/>
          <w:b w:val="0"/>
          <w:i/>
          <w:color w:val="000000"/>
          <w:sz w:val="21"/>
        </w:rPr>
        <w:t>Certes Networks   April 2022 - April 2023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Dockerized deployment pipelines for encryption hardware software, streamlining CI/CD builds and improving deployment consistency across environments.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Refactored 5+ high-throughput backend modules, improving encryption efficiency by 20% while sustaining 99.8% uptime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Identified and resolved a critical silent-failure bug in legacy encryption endpoints, preventing undetected data exposure across deployed devices.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