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pipelines, agentic workflows, and computer-vision applications. Benchmarked retrieval-augmented generation pipelines achieving ~30% latency reduction and authored a peer-reviewed paper on multi-modal AI at ACM SIGACCESS ASSETS 2025. Proficient in Python, LangChain, LangGraph, PyTorch, and AWS cloud services, with hands-on experience designing end-to-end AI solutions for complex, real-world business problems.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Applied ML/GenAI: PyTorch, TensorFlow, scikit-learn, XGBoost, OpenCV, NLP, Computer Vision, Multi-Modal AI (VLMs, OCR), GenAI/LLMOps: LangChain, LangGraph, LlamaIndex, Hugging Face, RAG, Agentic Workflows, Prompt Engineering, RAGAS, DeepEval, Infrastructure: Docker, Kubernetes, AWS, FastAPI, CI/CD, Languages/Scripting: Python, SQL, Java, JavaScript, R, Databases: MongoDB, Firebase, Frameworks/Tools/OS: React.js, Node.js, API Integration, Linux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across enterprise query workloads.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prompt engineering and retrieval optimization techniques to improve LLM output quality, directly informing production deployment decisions.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multi-modal AI application using Kotlin, OpenCV 4.9, and Camera2 API for Vuzix M400 smart glasses, performing real-time form-field detection via Canny edge detection, contour analysis, and perspective warp on-device.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evaluated across 25 participants, achieving a 68% efficiency gain; conducted statistical usability analysis in R using Likert-scale methods.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NLP-powered preference chatbot and a Six Degrees of Separation graph algorithm using NetworkX to match users across 10,000+ active accounts by shared interests, location, school, and community.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tests; findings directly shaped 2 product feature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cut average match latency from 800ms to 340ms, delivering both AI-driven features within a 3-month timeline.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