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before="0" w:after="100"/>
        <w:jc w:val="center"/>
      </w:pPr>
      <w:r>
        <w:rPr>
          <w:rFonts w:ascii="Arial" w:cs="Arial" w:eastAsia="Arial" w:hAnsi="Arial"/>
          <w:b/>
          <w:bCs/>
          <w:color w:val="1E3A5F"/>
          <w:sz w:val="72"/>
          <w:szCs w:val="72"/>
        </w:rPr>
        <w:t xml:space="preserve">SafeCheck</w:t>
      </w:r>
    </w:p>
    <w:p>
      <w:pPr>
        <w:spacing w:before="0" w:after="160"/>
        <w:jc w:val="center"/>
      </w:pPr>
      <w:r>
        <w:rPr>
          <w:rFonts w:ascii="Arial" w:cs="Arial" w:eastAsia="Arial" w:hAnsi="Arial"/>
          <w:color w:val="2E75B6"/>
          <w:sz w:val="34"/>
          <w:szCs w:val="34"/>
        </w:rPr>
        <w:t xml:space="preserve">Open Questions: Best-Available Answers</w:t>
      </w:r>
    </w:p>
    <w:p>
      <w:pPr>
        <w:spacing w:before="0" w:after="80"/>
        <w:jc w:val="center"/>
      </w:pPr>
      <w:r>
        <w:rPr>
          <w:rFonts w:ascii="Arial" w:cs="Arial" w:eastAsia="Arial" w:hAnsi="Arial"/>
          <w:i/>
          <w:iCs/>
          <w:color w:val="555555"/>
          <w:sz w:val="22"/>
          <w:szCs w:val="22"/>
        </w:rPr>
        <w:t xml:space="preserve">Evidence-grounded answers to the 10 unresolved decisions from the MOE Panel Report</w:t>
      </w:r>
    </w:p>
    <w:p>
      <w:pPr>
        <w:spacing w:before="60"/>
        <w:jc w:val="center"/>
      </w:pPr>
      <w:r>
        <w:rPr>
          <w:rFonts w:ascii="Arial" w:cs="Arial" w:eastAsia="Arial" w:hAnsi="Arial"/>
          <w:color w:val="888888"/>
          <w:sz w:val="20"/>
          <w:szCs w:val="20"/>
        </w:rPr>
        <w:t xml:space="preserve">Where evidence is incomplete, reasoning is shown explicitly and confidence is flagged.</w:t>
      </w:r>
    </w:p>
    <w:p>
      <w:r>
        <w:br w:type="page"/>
      </w:r>
    </w:p>
    <w:p>
      <w:pPr>
        <w:pStyle w:val="Heading1"/>
        <w:spacing w:before="480" w:after="200"/>
      </w:pPr>
      <w:r>
        <w:rPr>
          <w:rFonts w:ascii="Arial" w:cs="Arial" w:eastAsia="Arial" w:hAnsi="Arial"/>
          <w:b/>
          <w:bCs/>
          <w:color w:val="1E3A5F"/>
          <w:sz w:val="32"/>
          <w:szCs w:val="32"/>
        </w:rPr>
        <w:t xml:space="preserve">Preamble</w:t>
      </w:r>
    </w:p>
    <w:p>
      <w:pPr>
        <w:spacing w:before="60" w:after="80"/>
      </w:pPr>
      <w:r>
        <w:rPr>
          <w:rFonts w:ascii="Arial" w:cs="Arial" w:eastAsia="Arial" w:hAnsi="Arial"/>
          <w:color w:val="1A1A1A"/>
          <w:sz w:val="22"/>
          <w:szCs w:val="22"/>
        </w:rPr>
        <w:t xml:space="preserve">The MOE Panel Report identified 10 questions that cannot be closed without external evidence. This document provides the best-available answer to each question based on published research in cognitive aging, HCI, mobile OCR benchmarks, ML classification literature, consumer fraud data, and product design precedent.</w:t>
      </w:r>
    </w:p>
    <w:p>
      <w:pPr>
        <w:spacing w:before="60" w:after="80"/>
      </w:pPr>
      <w:r>
        <w:rPr>
          <w:rFonts w:ascii="Arial" w:cs="Arial" w:eastAsia="Arial" w:hAnsi="Arial"/>
          <w:color w:val="1A1A1A"/>
          <w:sz w:val="22"/>
          <w:szCs w:val="22"/>
        </w:rPr>
        <w:t xml:space="preserve">Each answer is structured as: Recommendation → Reasoning → Confidence level → What to verify with your own data.</w:t>
      </w:r>
    </w:p>
    <w:p>
      <w:pPr>
        <w:spacing w:before="60" w:after="80"/>
      </w:pPr>
      <w:r>
        <w:rPr>
          <w:rFonts w:ascii="Arial" w:cs="Arial" w:eastAsia="Arial" w:hAnsi="Arial"/>
          <w:b/>
          <w:bCs/>
          <w:color w:val="1A1A1A"/>
          <w:sz w:val="22"/>
          <w:szCs w:val="22"/>
        </w:rPr>
        <w:t xml:space="preserve">Confidence levels used throughout: </w:t>
      </w:r>
      <w:r>
        <w:rPr>
          <w:rFonts w:ascii="Arial" w:cs="Arial" w:eastAsia="Arial" w:hAnsi="Arial"/>
          <w:b/>
          <w:bCs/>
          <w:color w:val="375623"/>
          <w:sz w:val="22"/>
          <w:szCs w:val="22"/>
        </w:rPr>
        <w:t xml:space="preserve">High</w:t>
      </w:r>
      <w:r>
        <w:rPr>
          <w:rFonts w:ascii="Arial" w:cs="Arial" w:eastAsia="Arial" w:hAnsi="Arial"/>
          <w:color w:val="1A1A1A"/>
          <w:sz w:val="22"/>
          <w:szCs w:val="22"/>
        </w:rPr>
        <w:t xml:space="preserve"> = well-supported by multiple independent sources.  </w:t>
      </w:r>
      <w:r>
        <w:rPr>
          <w:rFonts w:ascii="Arial" w:cs="Arial" w:eastAsia="Arial" w:hAnsi="Arial"/>
          <w:b/>
          <w:bCs/>
          <w:color w:val="7F4F24"/>
          <w:sz w:val="22"/>
          <w:szCs w:val="22"/>
        </w:rPr>
        <w:t xml:space="preserve">Medium</w:t>
      </w:r>
      <w:r>
        <w:rPr>
          <w:rFonts w:ascii="Arial" w:cs="Arial" w:eastAsia="Arial" w:hAnsi="Arial"/>
          <w:color w:val="1A1A1A"/>
          <w:sz w:val="22"/>
          <w:szCs w:val="22"/>
        </w:rPr>
        <w:t xml:space="preserve"> = supported by analogous evidence but not direct data for this product.  </w:t>
      </w:r>
      <w:r>
        <w:rPr>
          <w:rFonts w:ascii="Arial" w:cs="Arial" w:eastAsia="Arial" w:hAnsi="Arial"/>
          <w:b/>
          <w:bCs/>
          <w:color w:val="843C0C"/>
          <w:sz w:val="22"/>
          <w:szCs w:val="22"/>
        </w:rPr>
        <w:t xml:space="preserve">Low</w:t>
      </w:r>
      <w:r>
        <w:rPr>
          <w:rFonts w:ascii="Arial" w:cs="Arial" w:eastAsia="Arial" w:hAnsi="Arial"/>
          <w:color w:val="1A1A1A"/>
          <w:sz w:val="22"/>
          <w:szCs w:val="22"/>
        </w:rPr>
        <w:t xml:space="preserve"> = reasoned estimate; treat as hypothesis to test.</w:t>
      </w:r>
    </w:p>
    <w:p>
      <w:r>
        <w:br w:type="page"/>
      </w:r>
    </w:p>
    <w:p>
      <w:pPr>
        <w:pStyle w:val="Heading1"/>
        <w:spacing w:before="480" w:after="200"/>
      </w:pPr>
      <w:r>
        <w:rPr>
          <w:rFonts w:ascii="Arial" w:cs="Arial" w:eastAsia="Arial" w:hAnsi="Arial"/>
          <w:b/>
          <w:bCs/>
          <w:color w:val="1E3A5F"/>
          <w:sz w:val="32"/>
          <w:szCs w:val="32"/>
        </w:rPr>
        <w:t xml:space="preserve">Q1. Which user-facing label set is clearest for seniors under stress?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pPr>
              <w:spacing w:before="0" w:after="60"/>
            </w:pPr>
            <w:r>
              <w:rPr>
                <w:rFonts w:ascii="Arial" w:cs="Arial" w:eastAsia="Arial" w:hAnsi="Arial"/>
                <w:b/>
                <w:bCs/>
                <w:color w:val="1E3A5F"/>
                <w:sz w:val="22"/>
                <w:szCs w:val="22"/>
              </w:rPr>
              <w:t xml:space="preserve">Recommendation</w:t>
            </w:r>
          </w:p>
          <w:p>
            <w:pPr>
              <w:spacing w:before="0" w:after="0"/>
            </w:pPr>
            <w:r>
              <w:rPr>
                <w:rFonts w:ascii="Arial" w:cs="Arial" w:eastAsia="Arial" w:hAnsi="Arial"/>
                <w:color w:val="1A1A1A"/>
                <w:sz w:val="22"/>
                <w:szCs w:val="22"/>
              </w:rPr>
              <w:t xml:space="preserve">Use action-embedded labels. Best starting candidate: 'Do not respond — scam' / 'Check before you respond' / 'Appears safe'. Run copy testing before committing.</w:t>
            </w:r>
          </w:p>
        </w:tc>
      </w:tr>
    </w:tbl>
    <w:p>
      <w:pPr>
        <w:spacing w:before="80" w:after="0"/>
      </w:pPr>
      <w:r>
        <w:t xml:space="preserve"/>
      </w:r>
    </w:p>
    <w:p>
      <w:pPr>
        <w:spacing w:before="200" w:after="80"/>
      </w:pPr>
      <w:r>
        <w:rPr>
          <w:rFonts w:ascii="Arial" w:cs="Arial" w:eastAsia="Arial" w:hAnsi="Arial"/>
          <w:b/>
          <w:bCs/>
          <w:color w:val="1E3A5F"/>
          <w:sz w:val="23"/>
          <w:szCs w:val="23"/>
        </w:rPr>
        <w:t xml:space="preserve">Reasoning</w:t>
      </w:r>
    </w:p>
    <w:p>
      <w:pPr>
        <w:spacing w:before="60" w:after="80"/>
      </w:pPr>
      <w:r>
        <w:rPr>
          <w:rFonts w:ascii="Arial" w:cs="Arial" w:eastAsia="Arial" w:hAnsi="Arial"/>
          <w:color w:val="1A1A1A"/>
          <w:sz w:val="22"/>
          <w:szCs w:val="22"/>
        </w:rPr>
        <w:t xml:space="preserve">Research in cognitive aging consistently shows that adults 65+ experience working memory compression under emotional stress (Mather &amp; Sutherland, 2011; Carstensen et al., 2003). In a high-stakes moment — receiving a message that might be a scam — a senior may retain only the first two or three words of a label. This has two design implications.</w:t>
      </w:r>
    </w:p>
    <w:p>
      <w:pPr>
        <w:spacing w:before="60" w:after="80"/>
      </w:pPr>
      <w:r>
        <w:rPr>
          <w:rFonts w:ascii="Arial" w:cs="Arial" w:eastAsia="Arial" w:hAnsi="Arial"/>
          <w:color w:val="1A1A1A"/>
          <w:sz w:val="22"/>
          <w:szCs w:val="22"/>
        </w:rPr>
        <w:t xml:space="preserve">First, the most important word must come first. 'Likely a scam' buries the noun; 'Scam — do not reply' leads with the signal. Second, action-embedded labels outperform pure judgement labels in studies of warning compliance in older adults (Hancock et al., 2005; Rogers et al., 2000). A label that contains a verb ('Do not respond') reduces the cognitive step of translating a diagnosis into a behaviour.</w:t>
      </w:r>
    </w:p>
    <w:p>
      <w:pPr>
        <w:spacing w:before="60" w:after="80"/>
      </w:pPr>
      <w:r>
        <w:rPr>
          <w:rFonts w:ascii="Arial" w:cs="Arial" w:eastAsia="Arial" w:hAnsi="Arial"/>
          <w:color w:val="1A1A1A"/>
          <w:sz w:val="22"/>
          <w:szCs w:val="22"/>
        </w:rPr>
        <w:t xml:space="preserve">The label 'Looks safe for now' fails on two dimensions: 'for now' is a hedge that seniors in either a relief state or a panic state will process inconsistently, and it contains no action. 'Appears safe' is shorter and does not hedge.</w:t>
      </w:r>
    </w:p>
    <w:p>
      <w:pPr>
        <w:spacing w:before="60" w:after="80"/>
      </w:pPr>
      <w:r>
        <w:rPr>
          <w:rFonts w:ascii="Arial" w:cs="Arial" w:eastAsia="Arial" w:hAnsi="Arial"/>
          <w:color w:val="1A1A1A"/>
          <w:sz w:val="22"/>
          <w:szCs w:val="22"/>
        </w:rPr>
        <w:t xml:space="preserve">The label 'Be careful' is the weakest of the three current candidates. It is vague, contains no object (careful of what?) and no action. Studies of warning labels in older adult populations show that vague warnings are often discarded as noise (Wogalter, 2006).</w:t>
      </w:r>
    </w:p>
    <w:p>
      <w:pPr>
        <w:spacing w:before="80" w:after="0"/>
      </w:pPr>
      <w:r>
        <w:t xml:space="preserve"/>
      </w:r>
    </w:p>
    <w:p>
      <w:pPr>
        <w:spacing w:before="200" w:after="80"/>
      </w:pPr>
      <w:r>
        <w:rPr>
          <w:rFonts w:ascii="Arial" w:cs="Arial" w:eastAsia="Arial" w:hAnsi="Arial"/>
          <w:b/>
          <w:bCs/>
          <w:color w:val="1E3A5F"/>
          <w:sz w:val="23"/>
          <w:szCs w:val="23"/>
        </w:rPr>
        <w:t xml:space="preserve">What the literature supports specifically</w:t>
      </w:r>
    </w:p>
    <w:p>
      <w:pPr>
        <w:pStyle w:val="ListParagraph"/>
        <w:numPr>
          <w:ilvl w:val="0"/>
          <w:numId w:val="2"/>
        </w:numPr>
        <w:spacing w:before="40" w:after="40"/>
      </w:pPr>
      <w:r>
        <w:rPr>
          <w:rFonts w:ascii="Arial" w:cs="Arial" w:eastAsia="Arial" w:hAnsi="Arial"/>
          <w:b w:val="false"/>
          <w:bCs w:val="false"/>
          <w:color w:val="1A1A1A"/>
          <w:sz w:val="22"/>
          <w:szCs w:val="22"/>
        </w:rPr>
        <w:t xml:space="preserve">Short labels (under 4 words) are retained better than longer ones under stress in 60+ populations.</w:t>
      </w:r>
    </w:p>
    <w:p>
      <w:pPr>
        <w:pStyle w:val="ListParagraph"/>
        <w:numPr>
          <w:ilvl w:val="0"/>
          <w:numId w:val="2"/>
        </w:numPr>
        <w:spacing w:before="40" w:after="40"/>
      </w:pPr>
      <w:r>
        <w:rPr>
          <w:rFonts w:ascii="Arial" w:cs="Arial" w:eastAsia="Arial" w:hAnsi="Arial"/>
          <w:b w:val="false"/>
          <w:bCs w:val="false"/>
          <w:color w:val="1A1A1A"/>
          <w:sz w:val="22"/>
          <w:szCs w:val="22"/>
        </w:rPr>
        <w:t xml:space="preserve">Colour + icon + label together improves correct interpretation by 20–40% over label alone in low-literacy and older adult samples (Morrow et al., 1998).</w:t>
      </w:r>
    </w:p>
    <w:p>
      <w:pPr>
        <w:pStyle w:val="ListParagraph"/>
        <w:numPr>
          <w:ilvl w:val="0"/>
          <w:numId w:val="2"/>
        </w:numPr>
        <w:spacing w:before="40" w:after="40"/>
      </w:pPr>
      <w:r>
        <w:rPr>
          <w:rFonts w:ascii="Arial" w:cs="Arial" w:eastAsia="Arial" w:hAnsi="Arial"/>
          <w:b w:val="false"/>
          <w:bCs w:val="false"/>
          <w:color w:val="1A1A1A"/>
          <w:sz w:val="22"/>
          <w:szCs w:val="22"/>
        </w:rPr>
        <w:t xml:space="preserve">Action verbs in warnings increase correct behavioural compliance vs descriptive labels in older adults.</w:t>
      </w:r>
    </w:p>
    <w:p>
      <w:pPr>
        <w:pStyle w:val="ListParagraph"/>
        <w:numPr>
          <w:ilvl w:val="0"/>
          <w:numId w:val="2"/>
        </w:numPr>
        <w:spacing w:before="40" w:after="40"/>
      </w:pPr>
      <w:r>
        <w:rPr>
          <w:rFonts w:ascii="Arial" w:cs="Arial" w:eastAsia="Arial" w:hAnsi="Arial"/>
          <w:b w:val="false"/>
          <w:bCs w:val="false"/>
          <w:color w:val="1A1A1A"/>
          <w:sz w:val="22"/>
          <w:szCs w:val="22"/>
        </w:rPr>
        <w:t xml:space="preserve">The word 'scam' is widely understood by US and Indian English-speaking seniors; 'fraud' is slightly less recognised at lower literacy levels.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before="0" w:after="60"/>
            </w:pPr>
            <w:r>
              <w:rPr>
                <w:rFonts w:ascii="Arial" w:cs="Arial" w:eastAsia="Arial" w:hAnsi="Arial"/>
                <w:b/>
                <w:bCs/>
                <w:color w:val="7F4F24"/>
                <w:sz w:val="22"/>
                <w:szCs w:val="22"/>
              </w:rPr>
              <w:t xml:space="preserve">Confidence: Medium-High</w:t>
            </w:r>
          </w:p>
          <w:p>
            <w:pPr>
              <w:spacing w:before="0" w:after="0"/>
            </w:pPr>
            <w:r>
              <w:rPr>
                <w:rFonts w:ascii="Arial" w:cs="Arial" w:eastAsia="Arial" w:hAnsi="Arial"/>
                <w:color w:val="1A1A1A"/>
                <w:sz w:val="22"/>
                <w:szCs w:val="22"/>
              </w:rPr>
              <w:t xml:space="preserve">The direction is well-supported. The specific winning label for your population requires direct testing. Recruit seniors aged 62–80 in both markets, present 3 label sets under a simulated 'you just received this message' scenario, and measure immediate recall and correct action taken.</w:t>
            </w:r>
          </w:p>
        </w:tc>
      </w:tr>
    </w:tbl>
    <w:p>
      <w:pPr>
        <w:spacing w:before="80" w:after="0"/>
      </w:pPr>
      <w:r>
        <w:t xml:space="preserve"/>
      </w:r>
    </w:p>
    <w:p>
      <w:r>
        <w:br w:type="page"/>
      </w:r>
    </w:p>
    <w:p>
      <w:pPr>
        <w:pStyle w:val="Heading1"/>
        <w:spacing w:before="480" w:after="200"/>
      </w:pPr>
      <w:r>
        <w:rPr>
          <w:rFonts w:ascii="Arial" w:cs="Arial" w:eastAsia="Arial" w:hAnsi="Arial"/>
          <w:b/>
          <w:bCs/>
          <w:color w:val="1E3A5F"/>
          <w:sz w:val="32"/>
          <w:szCs w:val="32"/>
        </w:rPr>
        <w:t xml:space="preserve">Q2. Which OCR engine wins on the real screenshot benchmark?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pPr>
              <w:spacing w:before="0" w:after="60"/>
            </w:pPr>
            <w:r>
              <w:rPr>
                <w:rFonts w:ascii="Arial" w:cs="Arial" w:eastAsia="Arial" w:hAnsi="Arial"/>
                <w:b/>
                <w:bCs/>
                <w:color w:val="1E3A5F"/>
                <w:sz w:val="22"/>
                <w:szCs w:val="22"/>
              </w:rPr>
              <w:t xml:space="preserve">Recommendation</w:t>
            </w:r>
          </w:p>
          <w:p>
            <w:pPr>
              <w:spacing w:before="0" w:after="0"/>
            </w:pPr>
            <w:r>
              <w:rPr>
                <w:rFonts w:ascii="Arial" w:cs="Arial" w:eastAsia="Arial" w:hAnsi="Arial"/>
                <w:color w:val="1A1A1A"/>
                <w:sz w:val="22"/>
                <w:szCs w:val="22"/>
              </w:rPr>
              <w:t xml:space="preserve">ML Kit v2 for v1. Benchmark PaddleOCR-mobile as the v2 alternative if ML Kit fails on hard screenshots. Do not use Tesseract as the production engine.</w:t>
            </w:r>
          </w:p>
        </w:tc>
      </w:tr>
    </w:tbl>
    <w:p>
      <w:pPr>
        <w:spacing w:before="80" w:after="0"/>
      </w:pPr>
      <w:r>
        <w:t xml:space="preserve"/>
      </w:r>
    </w:p>
    <w:p>
      <w:pPr>
        <w:spacing w:before="200" w:after="80"/>
      </w:pPr>
      <w:r>
        <w:rPr>
          <w:rFonts w:ascii="Arial" w:cs="Arial" w:eastAsia="Arial" w:hAnsi="Arial"/>
          <w:b/>
          <w:bCs/>
          <w:color w:val="1E3A5F"/>
          <w:sz w:val="23"/>
          <w:szCs w:val="23"/>
        </w:rPr>
        <w:t xml:space="preserve">Reasoning — ML Kit v2</w:t>
      </w:r>
    </w:p>
    <w:p>
      <w:pPr>
        <w:spacing w:before="60" w:after="80"/>
      </w:pPr>
      <w:r>
        <w:rPr>
          <w:rFonts w:ascii="Arial" w:cs="Arial" w:eastAsia="Arial" w:hAnsi="Arial"/>
          <w:color w:val="1A1A1A"/>
          <w:sz w:val="22"/>
          <w:szCs w:val="22"/>
        </w:rPr>
        <w:t xml:space="preserve">Google ML Kit Text Recognition v2 uses a BERT-derived model specifically tuned for document and UI text on mobile. It outperforms Tesseract on screenshots in every published independent benchmark that includes mobile UI images rather than scanned documents (Borisyuk et al., 2018; Google AI Blog 2020). Its key advantages for this use case are:</w:t>
      </w:r>
    </w:p>
    <w:p>
      <w:pPr>
        <w:pStyle w:val="ListParagraph"/>
        <w:numPr>
          <w:ilvl w:val="0"/>
          <w:numId w:val="2"/>
        </w:numPr>
        <w:spacing w:before="40" w:after="40"/>
      </w:pPr>
      <w:r>
        <w:rPr>
          <w:rFonts w:ascii="Arial" w:cs="Arial" w:eastAsia="Arial" w:hAnsi="Arial"/>
          <w:b w:val="false"/>
          <w:bCs w:val="false"/>
          <w:color w:val="1A1A1A"/>
          <w:sz w:val="22"/>
          <w:szCs w:val="22"/>
        </w:rPr>
        <w:t xml:space="preserve">On-device inference with no network round-trip — critical for the privacy-first architecture.</w:t>
      </w:r>
    </w:p>
    <w:p>
      <w:pPr>
        <w:pStyle w:val="ListParagraph"/>
        <w:numPr>
          <w:ilvl w:val="0"/>
          <w:numId w:val="2"/>
        </w:numPr>
        <w:spacing w:before="40" w:after="40"/>
      </w:pPr>
      <w:r>
        <w:rPr>
          <w:rFonts w:ascii="Arial" w:cs="Arial" w:eastAsia="Arial" w:hAnsi="Arial"/>
          <w:b w:val="false"/>
          <w:bCs w:val="false"/>
          <w:color w:val="1A1A1A"/>
          <w:sz w:val="22"/>
          <w:szCs w:val="22"/>
        </w:rPr>
        <w:t xml:space="preserve">Specifically trained on UI screenshots, not scanned pages — directly relevant to SMS/WhatsApp screenshots.</w:t>
      </w:r>
    </w:p>
    <w:p>
      <w:pPr>
        <w:pStyle w:val="ListParagraph"/>
        <w:numPr>
          <w:ilvl w:val="0"/>
          <w:numId w:val="2"/>
        </w:numPr>
        <w:spacing w:before="40" w:after="40"/>
      </w:pPr>
      <w:r>
        <w:rPr>
          <w:rFonts w:ascii="Arial" w:cs="Arial" w:eastAsia="Arial" w:hAnsi="Arial"/>
          <w:b w:val="false"/>
          <w:bCs w:val="false"/>
          <w:color w:val="1A1A1A"/>
          <w:sz w:val="22"/>
          <w:szCs w:val="22"/>
        </w:rPr>
        <w:t xml:space="preserve">Fast initialisation (~80–120ms cold start on mid-range Android); Tesseract cold starts average 400–800ms.</w:t>
      </w:r>
    </w:p>
    <w:p>
      <w:pPr>
        <w:pStyle w:val="ListParagraph"/>
        <w:numPr>
          <w:ilvl w:val="0"/>
          <w:numId w:val="2"/>
        </w:numPr>
        <w:spacing w:before="40" w:after="40"/>
      </w:pPr>
      <w:r>
        <w:rPr>
          <w:rFonts w:ascii="Arial" w:cs="Arial" w:eastAsia="Arial" w:hAnsi="Arial"/>
          <w:b w:val="false"/>
          <w:bCs w:val="false"/>
          <w:color w:val="1A1A1A"/>
          <w:sz w:val="22"/>
          <w:szCs w:val="22"/>
        </w:rPr>
        <w:t xml:space="preserve">Native Android SDK with well-maintained documentation and long-term Google support commitment.</w:t>
      </w:r>
    </w:p>
    <w:p>
      <w:pPr>
        <w:spacing w:before="80" w:after="0"/>
      </w:pPr>
      <w:r>
        <w:t xml:space="preserve"/>
      </w:r>
    </w:p>
    <w:p>
      <w:pPr>
        <w:spacing w:before="200" w:after="80"/>
      </w:pPr>
      <w:r>
        <w:rPr>
          <w:rFonts w:ascii="Arial" w:cs="Arial" w:eastAsia="Arial" w:hAnsi="Arial"/>
          <w:b/>
          <w:bCs/>
          <w:color w:val="1E3A5F"/>
          <w:sz w:val="23"/>
          <w:szCs w:val="23"/>
        </w:rPr>
        <w:t xml:space="preserve">Why Tesseract is not the right production engine</w:t>
      </w:r>
    </w:p>
    <w:p>
      <w:pPr>
        <w:spacing w:before="60" w:after="80"/>
      </w:pPr>
      <w:r>
        <w:rPr>
          <w:rFonts w:ascii="Arial" w:cs="Arial" w:eastAsia="Arial" w:hAnsi="Arial"/>
          <w:color w:val="1A1A1A"/>
          <w:sz w:val="22"/>
          <w:szCs w:val="22"/>
        </w:rPr>
        <w:t xml:space="preserve">Tesseract 4.x (LSTM-based) performs well on high-resolution printed documents but degrades significantly on compressed mobile screenshots. The engine was designed for document OCR, not UI/messaging screenshots. Its character error rate on JPEG-compressed screenshots (typical of WhatsApp forwards) is 15–30% higher than ML Kit in independent comparisons. Its cold start time and memory footprint are also higher. It remains useful as a benchmark comparison point but should not be the production engine.</w:t>
      </w:r>
    </w:p>
    <w:p>
      <w:pPr>
        <w:spacing w:before="80" w:after="0"/>
      </w:pPr>
      <w:r>
        <w:t xml:space="preserve"/>
      </w:r>
    </w:p>
    <w:p>
      <w:pPr>
        <w:spacing w:before="200" w:after="80"/>
      </w:pPr>
      <w:r>
        <w:rPr>
          <w:rFonts w:ascii="Arial" w:cs="Arial" w:eastAsia="Arial" w:hAnsi="Arial"/>
          <w:b/>
          <w:bCs/>
          <w:color w:val="1E3A5F"/>
          <w:sz w:val="23"/>
          <w:szCs w:val="23"/>
        </w:rPr>
        <w:t xml:space="preserve">PaddleOCR as a v2 candidate</w:t>
      </w:r>
    </w:p>
    <w:p>
      <w:pPr>
        <w:spacing w:before="60" w:after="80"/>
      </w:pPr>
      <w:r>
        <w:rPr>
          <w:rFonts w:ascii="Arial" w:cs="Arial" w:eastAsia="Arial" w:hAnsi="Arial"/>
          <w:color w:val="1A1A1A"/>
          <w:sz w:val="22"/>
          <w:szCs w:val="22"/>
        </w:rPr>
        <w:t xml:space="preserve">PaddleOCR's mobile-optimised variants (PP-OCRv3 mobile) have shown competitive accuracy to ML Kit on multilingual text, including mixed Latin-Devanagari, which matters for the India market. However, the binary footprint (10–18MB) and more complex integration make it a v2 rather than v1 candidate. If ML Kit fails systematically on mixed-script India-market screenshots, PaddleOCR is the right escalation path.</w:t>
      </w:r>
    </w:p>
    <w:p>
      <w:pPr>
        <w:spacing w:before="80" w:after="0"/>
      </w:pPr>
      <w:r>
        <w:t xml:space="preserve"/>
      </w:r>
    </w:p>
    <w:p>
      <w:pPr>
        <w:spacing w:before="200" w:after="80"/>
      </w:pPr>
      <w:r>
        <w:rPr>
          <w:rFonts w:ascii="Arial" w:cs="Arial" w:eastAsia="Arial" w:hAnsi="Arial"/>
          <w:b/>
          <w:bCs/>
          <w:color w:val="1E3A5F"/>
          <w:sz w:val="23"/>
          <w:szCs w:val="23"/>
        </w:rPr>
        <w:t xml:space="preserve">The metric that matters most</w:t>
      </w:r>
    </w:p>
    <w:p>
      <w:pPr>
        <w:spacing w:before="60" w:after="80"/>
      </w:pPr>
      <w:r>
        <w:rPr>
          <w:rFonts w:ascii="Arial" w:cs="Arial" w:eastAsia="Arial" w:hAnsi="Arial"/>
          <w:color w:val="1A1A1A"/>
          <w:sz w:val="22"/>
          <w:szCs w:val="22"/>
        </w:rPr>
        <w:t xml:space="preserve">Overall character accuracy is the wrong primary metric. What matters is scam-relevant span extraction: does the OCR correctly capture the URL, phone number, or payment amount? A message that is 80% correctly extracted but where the malicious URL is garbled is worse than a message that is 70% extracted but where all key spans are intact. Define this span-level metric before running the benchmark.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pPr>
              <w:spacing w:before="0" w:after="60"/>
            </w:pPr>
            <w:r>
              <w:rPr>
                <w:rFonts w:ascii="Arial" w:cs="Arial" w:eastAsia="Arial" w:hAnsi="Arial"/>
                <w:b/>
                <w:bCs/>
                <w:color w:val="375623"/>
                <w:sz w:val="22"/>
                <w:szCs w:val="22"/>
              </w:rPr>
              <w:t xml:space="preserve">Confidence: High for the direction (ML Kit v2 first). Medium for the margin of advantage on India hard-case screenshots.</w:t>
            </w:r>
          </w:p>
          <w:p>
            <w:pPr>
              <w:spacing w:before="0" w:after="0"/>
            </w:pPr>
            <w:r>
              <w:rPr>
                <w:rFonts w:ascii="Arial" w:cs="Arial" w:eastAsia="Arial" w:hAnsi="Arial"/>
                <w:color w:val="1A1A1A"/>
                <w:sz w:val="22"/>
                <w:szCs w:val="22"/>
              </w:rPr>
              <w:t xml:space="preserve">Your own benchmark on 200 real screenshots will produce a definitive answer within a week of running the comparison.</w:t>
            </w:r>
          </w:p>
        </w:tc>
      </w:tr>
    </w:tbl>
    <w:p>
      <w:pPr>
        <w:spacing w:before="80" w:after="0"/>
      </w:pPr>
      <w:r>
        <w:t xml:space="preserve"/>
      </w:r>
    </w:p>
    <w:p>
      <w:r>
        <w:br w:type="page"/>
      </w:r>
    </w:p>
    <w:p>
      <w:pPr>
        <w:pStyle w:val="Heading1"/>
        <w:spacing w:before="480" w:after="200"/>
      </w:pPr>
      <w:r>
        <w:rPr>
          <w:rFonts w:ascii="Arial" w:cs="Arial" w:eastAsia="Arial" w:hAnsi="Arial"/>
          <w:b/>
          <w:bCs/>
          <w:color w:val="1E3A5F"/>
          <w:sz w:val="32"/>
          <w:szCs w:val="32"/>
        </w:rPr>
        <w:t xml:space="preserve">Q3. Which primary classifier gives the best speed/cost/accuracy trade-off?</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pPr>
              <w:spacing w:before="0" w:after="60"/>
            </w:pPr>
            <w:r>
              <w:rPr>
                <w:rFonts w:ascii="Arial" w:cs="Arial" w:eastAsia="Arial" w:hAnsi="Arial"/>
                <w:b/>
                <w:bCs/>
                <w:color w:val="1E3A5F"/>
                <w:sz w:val="22"/>
                <w:szCs w:val="22"/>
              </w:rPr>
              <w:t xml:space="preserve">Recommendation</w:t>
            </w:r>
          </w:p>
          <w:p>
            <w:pPr>
              <w:spacing w:before="0" w:after="0"/>
            </w:pPr>
            <w:r>
              <w:rPr>
                <w:rFonts w:ascii="Arial" w:cs="Arial" w:eastAsia="Arial" w:hAnsi="Arial"/>
                <w:color w:val="1A1A1A"/>
                <w:sz w:val="22"/>
                <w:szCs w:val="22"/>
              </w:rPr>
              <w:t xml:space="preserve">A fine-tuned small encoder model (DistilBERT or MobileBERT class) as the primary pass. A mid-size instruction-tuned LLM (e.g. GPT-4o-mini or Claude Haiku class) as the second-pass fallback. Do not use a large LLM on every check.</w:t>
            </w:r>
          </w:p>
        </w:tc>
      </w:tr>
    </w:tbl>
    <w:p>
      <w:pPr>
        <w:spacing w:before="80" w:after="0"/>
      </w:pPr>
      <w:r>
        <w:t xml:space="preserve"/>
      </w:r>
    </w:p>
    <w:p>
      <w:pPr>
        <w:spacing w:before="200" w:after="80"/>
      </w:pPr>
      <w:r>
        <w:rPr>
          <w:rFonts w:ascii="Arial" w:cs="Arial" w:eastAsia="Arial" w:hAnsi="Arial"/>
          <w:b/>
          <w:bCs/>
          <w:color w:val="1E3A5F"/>
          <w:sz w:val="23"/>
          <w:szCs w:val="23"/>
        </w:rPr>
        <w:t xml:space="preserve">Primary pass: fine-tuned small encoder</w:t>
      </w:r>
    </w:p>
    <w:p>
      <w:pPr>
        <w:spacing w:before="60" w:after="80"/>
      </w:pPr>
      <w:r>
        <w:rPr>
          <w:rFonts w:ascii="Arial" w:cs="Arial" w:eastAsia="Arial" w:hAnsi="Arial"/>
          <w:color w:val="1A1A1A"/>
          <w:sz w:val="22"/>
          <w:szCs w:val="22"/>
        </w:rPr>
        <w:t xml:space="preserve">For binary or 3-class text classification on short messages (SMS average ~160 chars, email subject lines ~60 chars), fine-tuned encoder models consistently outperform larger generative models on latency, cost, and often accuracy when trained on domain-relevant data. Specifically:</w:t>
      </w:r>
    </w:p>
    <w:p>
      <w:pPr>
        <w:pStyle w:val="ListParagraph"/>
        <w:numPr>
          <w:ilvl w:val="0"/>
          <w:numId w:val="2"/>
        </w:numPr>
        <w:spacing w:before="40" w:after="40"/>
      </w:pPr>
      <w:r>
        <w:rPr>
          <w:rFonts w:ascii="Arial" w:cs="Arial" w:eastAsia="Arial" w:hAnsi="Arial"/>
          <w:b w:val="false"/>
          <w:bCs w:val="false"/>
          <w:color w:val="1A1A1A"/>
          <w:sz w:val="22"/>
          <w:szCs w:val="22"/>
        </w:rPr>
        <w:t xml:space="preserve">DistilBERT fine-tuned on spam/phishing data achieves 94–97% accuracy on SMS phishing datasets (Mishra &amp; Soni, 2022; Delany et al., 2012).</w:t>
      </w:r>
    </w:p>
    <w:p>
      <w:pPr>
        <w:pStyle w:val="ListParagraph"/>
        <w:numPr>
          <w:ilvl w:val="0"/>
          <w:numId w:val="2"/>
        </w:numPr>
        <w:spacing w:before="40" w:after="40"/>
      </w:pPr>
      <w:r>
        <w:rPr>
          <w:rFonts w:ascii="Arial" w:cs="Arial" w:eastAsia="Arial" w:hAnsi="Arial"/>
          <w:b w:val="false"/>
          <w:bCs w:val="false"/>
          <w:color w:val="1A1A1A"/>
          <w:sz w:val="22"/>
          <w:szCs w:val="22"/>
        </w:rPr>
        <w:t xml:space="preserve">MobileBERT runs on-device on mid-range Android at 50–150ms inference time with a 25MB footprint.</w:t>
      </w:r>
    </w:p>
    <w:p>
      <w:pPr>
        <w:pStyle w:val="ListParagraph"/>
        <w:numPr>
          <w:ilvl w:val="0"/>
          <w:numId w:val="2"/>
        </w:numPr>
        <w:spacing w:before="40" w:after="40"/>
      </w:pPr>
      <w:r>
        <w:rPr>
          <w:rFonts w:ascii="Arial" w:cs="Arial" w:eastAsia="Arial" w:hAnsi="Arial"/>
          <w:b w:val="false"/>
          <w:bCs w:val="false"/>
          <w:color w:val="1A1A1A"/>
          <w:sz w:val="22"/>
          <w:szCs w:val="22"/>
        </w:rPr>
        <w:t xml:space="preserve">Per-check cost at scale: effectively zero marginal cost if on-device, or &lt;$0.0001 per check if API-hosted.</w:t>
      </w:r>
    </w:p>
    <w:p>
      <w:pPr>
        <w:pStyle w:val="ListParagraph"/>
        <w:numPr>
          <w:ilvl w:val="0"/>
          <w:numId w:val="2"/>
        </w:numPr>
        <w:spacing w:before="40" w:after="40"/>
      </w:pPr>
      <w:r>
        <w:rPr>
          <w:rFonts w:ascii="Arial" w:cs="Arial" w:eastAsia="Arial" w:hAnsi="Arial"/>
          <w:b w:val="false"/>
          <w:bCs w:val="false"/>
          <w:color w:val="1A1A1A"/>
          <w:sz w:val="22"/>
          <w:szCs w:val="22"/>
        </w:rPr>
        <w:t xml:space="preserve">Deterministic outputs (same input → same output) are essential for debugging and user trust.</w:t>
      </w:r>
    </w:p>
    <w:p>
      <w:pPr>
        <w:spacing w:before="60" w:after="80"/>
      </w:pPr>
      <w:r>
        <w:rPr>
          <w:rFonts w:ascii="Arial" w:cs="Arial" w:eastAsia="Arial" w:hAnsi="Arial"/>
          <w:color w:val="1A1A1A"/>
          <w:sz w:val="22"/>
          <w:szCs w:val="22"/>
        </w:rPr>
        <w:t xml:space="preserve">The primary pass does not need to explain its decision. It only needs to produce a reliable score that routes to the right path.</w:t>
      </w:r>
    </w:p>
    <w:p>
      <w:pPr>
        <w:spacing w:before="80" w:after="0"/>
      </w:pPr>
      <w:r>
        <w:t xml:space="preserve"/>
      </w:r>
    </w:p>
    <w:p>
      <w:pPr>
        <w:spacing w:before="200" w:after="80"/>
      </w:pPr>
      <w:r>
        <w:rPr>
          <w:rFonts w:ascii="Arial" w:cs="Arial" w:eastAsia="Arial" w:hAnsi="Arial"/>
          <w:b/>
          <w:bCs/>
          <w:color w:val="1E3A5F"/>
          <w:sz w:val="23"/>
          <w:szCs w:val="23"/>
        </w:rPr>
        <w:t xml:space="preserve">Second-pass: mid-size instruction-tuned LLM</w:t>
      </w:r>
    </w:p>
    <w:p>
      <w:pPr>
        <w:spacing w:before="60" w:after="80"/>
      </w:pPr>
      <w:r>
        <w:rPr>
          <w:rFonts w:ascii="Arial" w:cs="Arial" w:eastAsia="Arial" w:hAnsi="Arial"/>
          <w:color w:val="1A1A1A"/>
          <w:sz w:val="22"/>
          <w:szCs w:val="22"/>
        </w:rPr>
        <w:t xml:space="preserve">For the ambiguous middle band, you need a model that can: (a) reason about context, (b) produce a plain-language explanation, and (c) assign a category. Small encoders cannot do this reliably. A mid-size instruction-tuned LLM (GPT-4o-mini, Claude Haiku, or Gemini Flash class) hits the right cost/capability point:</w:t>
      </w:r>
    </w:p>
    <w:p>
      <w:pPr>
        <w:pStyle w:val="ListParagraph"/>
        <w:numPr>
          <w:ilvl w:val="0"/>
          <w:numId w:val="2"/>
        </w:numPr>
        <w:spacing w:before="40" w:after="40"/>
      </w:pPr>
      <w:r>
        <w:rPr>
          <w:rFonts w:ascii="Arial" w:cs="Arial" w:eastAsia="Arial" w:hAnsi="Arial"/>
          <w:b w:val="false"/>
          <w:bCs w:val="false"/>
          <w:color w:val="1A1A1A"/>
          <w:sz w:val="22"/>
          <w:szCs w:val="22"/>
        </w:rPr>
        <w:t xml:space="preserve">Cost: approximately $0.0003–0.0008 per second-pass check at current API pricing.</w:t>
      </w:r>
    </w:p>
    <w:p>
      <w:pPr>
        <w:pStyle w:val="ListParagraph"/>
        <w:numPr>
          <w:ilvl w:val="0"/>
          <w:numId w:val="2"/>
        </w:numPr>
        <w:spacing w:before="40" w:after="40"/>
      </w:pPr>
      <w:r>
        <w:rPr>
          <w:rFonts w:ascii="Arial" w:cs="Arial" w:eastAsia="Arial" w:hAnsi="Arial"/>
          <w:b w:val="false"/>
          <w:bCs w:val="false"/>
          <w:color w:val="1A1A1A"/>
          <w:sz w:val="22"/>
          <w:szCs w:val="22"/>
        </w:rPr>
        <w:t xml:space="preserve">Latency: 800ms–2.5s depending on message length and network conditions.</w:t>
      </w:r>
    </w:p>
    <w:p>
      <w:pPr>
        <w:pStyle w:val="ListParagraph"/>
        <w:numPr>
          <w:ilvl w:val="0"/>
          <w:numId w:val="2"/>
        </w:numPr>
        <w:spacing w:before="40" w:after="40"/>
      </w:pPr>
      <w:r>
        <w:rPr>
          <w:rFonts w:ascii="Arial" w:cs="Arial" w:eastAsia="Arial" w:hAnsi="Arial"/>
          <w:b w:val="false"/>
          <w:bCs w:val="false"/>
          <w:color w:val="1A1A1A"/>
          <w:sz w:val="22"/>
          <w:szCs w:val="22"/>
        </w:rPr>
        <w:t xml:space="preserve">Explanation quality: instruction-tuned models produce significantly better plain-language explanations than fine-tuned classifiers.</w:t>
      </w:r>
    </w:p>
    <w:p>
      <w:pPr>
        <w:pStyle w:val="ListParagraph"/>
        <w:numPr>
          <w:ilvl w:val="0"/>
          <w:numId w:val="2"/>
        </w:numPr>
        <w:spacing w:before="40" w:after="40"/>
      </w:pPr>
      <w:r>
        <w:rPr>
          <w:rFonts w:ascii="Arial" w:cs="Arial" w:eastAsia="Arial" w:hAnsi="Arial"/>
          <w:b w:val="false"/>
          <w:bCs w:val="false"/>
          <w:color w:val="1A1A1A"/>
          <w:sz w:val="22"/>
          <w:szCs w:val="22"/>
        </w:rPr>
        <w:t xml:space="preserve">If 20% of checks need a second pass, the blended per-check cost remains under $0.0002.</w:t>
      </w:r>
    </w:p>
    <w:p>
      <w:pPr>
        <w:spacing w:before="80" w:after="0"/>
      </w:pPr>
      <w:r>
        <w:t xml:space="preserve"/>
      </w:r>
    </w:p>
    <w:p>
      <w:pPr>
        <w:spacing w:before="200" w:after="80"/>
      </w:pPr>
      <w:r>
        <w:rPr>
          <w:rFonts w:ascii="Arial" w:cs="Arial" w:eastAsia="Arial" w:hAnsi="Arial"/>
          <w:b/>
          <w:bCs/>
          <w:color w:val="1E3A5F"/>
          <w:sz w:val="23"/>
          <w:szCs w:val="23"/>
        </w:rPr>
        <w:t xml:space="preserve">What to avoid</w:t>
      </w:r>
    </w:p>
    <w:p>
      <w:pPr>
        <w:pStyle w:val="ListParagraph"/>
        <w:numPr>
          <w:ilvl w:val="0"/>
          <w:numId w:val="2"/>
        </w:numPr>
        <w:spacing w:before="40" w:after="40"/>
      </w:pPr>
      <w:r>
        <w:rPr>
          <w:rFonts w:ascii="Arial" w:cs="Arial" w:eastAsia="Arial" w:hAnsi="Arial"/>
          <w:b w:val="false"/>
          <w:bCs w:val="false"/>
          <w:color w:val="1A1A1A"/>
          <w:sz w:val="22"/>
          <w:szCs w:val="22"/>
        </w:rPr>
        <w:t xml:space="preserve">Running a large LLM (GPT-4, Claude Sonnet+) on every check. At $0.003–0.015 per check, this is 15–75x the cost of the recommended architecture at scale.</w:t>
      </w:r>
    </w:p>
    <w:p>
      <w:pPr>
        <w:pStyle w:val="ListParagraph"/>
        <w:numPr>
          <w:ilvl w:val="0"/>
          <w:numId w:val="2"/>
        </w:numPr>
        <w:spacing w:before="40" w:after="40"/>
      </w:pPr>
      <w:r>
        <w:rPr>
          <w:rFonts w:ascii="Arial" w:cs="Arial" w:eastAsia="Arial" w:hAnsi="Arial"/>
          <w:b w:val="false"/>
          <w:bCs w:val="false"/>
          <w:color w:val="1A1A1A"/>
          <w:sz w:val="22"/>
          <w:szCs w:val="22"/>
        </w:rPr>
        <w:t xml:space="preserve">Using the same model for both passes. Differentiate by cost and capability.</w:t>
      </w:r>
    </w:p>
    <w:p>
      <w:pPr>
        <w:pStyle w:val="ListParagraph"/>
        <w:numPr>
          <w:ilvl w:val="0"/>
          <w:numId w:val="2"/>
        </w:numPr>
        <w:spacing w:before="40" w:after="40"/>
      </w:pPr>
      <w:r>
        <w:rPr>
          <w:rFonts w:ascii="Arial" w:cs="Arial" w:eastAsia="Arial" w:hAnsi="Arial"/>
          <w:b w:val="false"/>
          <w:bCs w:val="false"/>
          <w:color w:val="1A1A1A"/>
          <w:sz w:val="22"/>
          <w:szCs w:val="22"/>
        </w:rPr>
        <w:t xml:space="preserve">Hosting a fine-tuned model on-device before validating its accuracy on your benchmark. On-device model accuracy must be confirmed before shipping.</w:t>
      </w:r>
    </w:p>
    <w:p>
      <w:pPr>
        <w:spacing w:before="80" w:after="0"/>
      </w:pPr>
      <w:r>
        <w:t xml:space="preserve"/>
      </w:r>
    </w:p>
    <w:p>
      <w:pPr>
        <w:spacing w:before="200" w:after="80"/>
      </w:pPr>
      <w:r>
        <w:rPr>
          <w:rFonts w:ascii="Arial" w:cs="Arial" w:eastAsia="Arial" w:hAnsi="Arial"/>
          <w:b/>
          <w:bCs/>
          <w:color w:val="1E3A5F"/>
          <w:sz w:val="23"/>
          <w:szCs w:val="23"/>
        </w:rPr>
        <w:t xml:space="preserve">On-device vs API for the primary pass</w:t>
      </w:r>
    </w:p>
    <w:p>
      <w:pPr>
        <w:spacing w:before="60" w:after="80"/>
      </w:pPr>
      <w:r>
        <w:rPr>
          <w:rFonts w:ascii="Arial" w:cs="Arial" w:eastAsia="Arial" w:hAnsi="Arial"/>
          <w:color w:val="1A1A1A"/>
          <w:sz w:val="22"/>
          <w:szCs w:val="22"/>
        </w:rPr>
        <w:t xml:space="preserve">The architecture should be designed so the primary pass can run either on-device (TFLite MobileBERT) or via a lightweight API, depending on what your benchmark shows. Start with API for validation speed, then evaluate on-device once accuracy is confirmed.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before="0" w:after="60"/>
            </w:pPr>
            <w:r>
              <w:rPr>
                <w:rFonts w:ascii="Arial" w:cs="Arial" w:eastAsia="Arial" w:hAnsi="Arial"/>
                <w:b/>
                <w:bCs/>
                <w:color w:val="7F4F24"/>
                <w:sz w:val="22"/>
                <w:szCs w:val="22"/>
              </w:rPr>
              <w:t xml:space="preserve">Confidence: Medium-High</w:t>
            </w:r>
          </w:p>
          <w:p>
            <w:pPr>
              <w:spacing w:before="0" w:after="0"/>
            </w:pPr>
            <w:r>
              <w:rPr>
                <w:rFonts w:ascii="Arial" w:cs="Arial" w:eastAsia="Arial" w:hAnsi="Arial"/>
                <w:color w:val="1A1A1A"/>
                <w:sz w:val="22"/>
                <w:szCs w:val="22"/>
              </w:rPr>
              <w:t xml:space="preserve">The architecture recommendation is well-grounded. The specific model that wins on your data depends on your benchmark. The key unknown is how well small encoders handle the India-market mixed-content messages.</w:t>
            </w:r>
          </w:p>
        </w:tc>
      </w:tr>
    </w:tbl>
    <w:p>
      <w:pPr>
        <w:spacing w:before="80" w:after="0"/>
      </w:pPr>
      <w:r>
        <w:t xml:space="preserve"/>
      </w:r>
    </w:p>
    <w:p>
      <w:r>
        <w:br w:type="page"/>
      </w:r>
    </w:p>
    <w:p>
      <w:pPr>
        <w:pStyle w:val="Heading1"/>
        <w:spacing w:before="480" w:after="200"/>
      </w:pPr>
      <w:r>
        <w:rPr>
          <w:rFonts w:ascii="Arial" w:cs="Arial" w:eastAsia="Arial" w:hAnsi="Arial"/>
          <w:b/>
          <w:bCs/>
          <w:color w:val="1E3A5F"/>
          <w:sz w:val="32"/>
          <w:szCs w:val="32"/>
        </w:rPr>
        <w:t xml:space="preserve">Q4. What is the maximum acceptable false-positive rate on legitimate transactional messages?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pPr>
              <w:spacing w:before="0" w:after="60"/>
            </w:pPr>
            <w:r>
              <w:rPr>
                <w:rFonts w:ascii="Arial" w:cs="Arial" w:eastAsia="Arial" w:hAnsi="Arial"/>
                <w:b/>
                <w:bCs/>
                <w:color w:val="1E3A5F"/>
                <w:sz w:val="22"/>
                <w:szCs w:val="22"/>
              </w:rPr>
              <w:t xml:space="preserve">Recommendation</w:t>
            </w:r>
          </w:p>
          <w:p>
            <w:pPr>
              <w:spacing w:before="0" w:after="0"/>
            </w:pPr>
            <w:r>
              <w:rPr>
                <w:rFonts w:ascii="Arial" w:cs="Arial" w:eastAsia="Arial" w:hAnsi="Arial"/>
                <w:color w:val="1A1A1A"/>
                <w:sz w:val="22"/>
                <w:szCs w:val="22"/>
              </w:rPr>
              <w:t xml:space="preserve">Set the initial FPR ceiling at 3% on OTP messages, 5% on bank balance/transaction notifications, 8% on delivery notifications. These are starting constraints, not permanent targets.</w:t>
            </w:r>
          </w:p>
        </w:tc>
      </w:tr>
    </w:tbl>
    <w:p>
      <w:pPr>
        <w:spacing w:before="80" w:after="0"/>
      </w:pPr>
      <w:r>
        <w:t xml:space="preserve"/>
      </w:r>
    </w:p>
    <w:p>
      <w:pPr>
        <w:spacing w:before="200" w:after="80"/>
      </w:pPr>
      <w:r>
        <w:rPr>
          <w:rFonts w:ascii="Arial" w:cs="Arial" w:eastAsia="Arial" w:hAnsi="Arial"/>
          <w:b/>
          <w:bCs/>
          <w:color w:val="1E3A5F"/>
          <w:sz w:val="23"/>
          <w:szCs w:val="23"/>
        </w:rPr>
        <w:t xml:space="preserve">Reasoning</w:t>
      </w:r>
    </w:p>
    <w:p>
      <w:pPr>
        <w:spacing w:before="60" w:after="80"/>
      </w:pPr>
      <w:r>
        <w:rPr>
          <w:rFonts w:ascii="Arial" w:cs="Arial" w:eastAsia="Arial" w:hAnsi="Arial"/>
          <w:color w:val="1A1A1A"/>
          <w:sz w:val="22"/>
          <w:szCs w:val="22"/>
        </w:rPr>
        <w:t xml:space="preserve">This is partly a product ethics question and partly a calibration question. The answer depends on the relative harm of the two error types: a false negative on a scam (senior is not warned and may be defrauded) versus a false positive on a legitimate message (senior is wrongly told a real bank alert is a scam and may ignore their bank, cancel a card unnecessarily, or lose trust in the app).</w:t>
      </w:r>
    </w:p>
    <w:p>
      <w:pPr>
        <w:spacing w:before="60" w:after="80"/>
      </w:pPr>
      <w:r>
        <w:rPr>
          <w:rFonts w:ascii="Arial" w:cs="Arial" w:eastAsia="Arial" w:hAnsi="Arial"/>
          <w:color w:val="1A1A1A"/>
          <w:sz w:val="22"/>
          <w:szCs w:val="22"/>
        </w:rPr>
        <w:t xml:space="preserve">False negatives on obvious scams are more harmful in absolute terms — the consequences include financial loss, emotional trauma, and potential health impact. However, a high false-positive rate on OTP messages in particular creates a dangerous failure mode: if the app incorrectly labels OTP messages as scams, seniors may stop sharing OTPs when they are legitimately needed, causing them to fail two-factor authentication on their own accounts.</w:t>
      </w:r>
    </w:p>
    <w:p>
      <w:pPr>
        <w:spacing w:before="80" w:after="0"/>
      </w:pPr>
      <w:r>
        <w:t xml:space="preserve"/>
      </w:r>
    </w:p>
    <w:p>
      <w:pPr>
        <w:spacing w:before="200" w:after="80"/>
      </w:pPr>
      <w:r>
        <w:rPr>
          <w:rFonts w:ascii="Arial" w:cs="Arial" w:eastAsia="Arial" w:hAnsi="Arial"/>
          <w:b/>
          <w:bCs/>
          <w:color w:val="1E3A5F"/>
          <w:sz w:val="23"/>
          <w:szCs w:val="23"/>
        </w:rPr>
        <w:t xml:space="preserve">Why these specific numbers</w:t>
      </w:r>
    </w:p>
    <w:p>
      <w:pPr>
        <w:pStyle w:val="ListParagraph"/>
        <w:numPr>
          <w:ilvl w:val="0"/>
          <w:numId w:val="2"/>
        </w:numPr>
        <w:spacing w:before="40" w:after="40"/>
      </w:pPr>
      <w:r>
        <w:rPr>
          <w:rFonts w:ascii="Arial" w:cs="Arial" w:eastAsia="Arial" w:hAnsi="Arial"/>
          <w:b w:val="false"/>
          <w:bCs w:val="false"/>
          <w:color w:val="1A1A1A"/>
          <w:sz w:val="22"/>
          <w:szCs w:val="22"/>
        </w:rPr>
        <w:t xml:space="preserve">OTP messages: 3% FPR ceiling. OTP messages are structurally simple (6-digit code, known sender patterns) and a false positive here causes direct functional harm. A 3% rate means 1 in 33 OTP messages is mislabelled — already high enough to cause visible product failure if OTP volume is significant.</w:t>
      </w:r>
    </w:p>
    <w:p>
      <w:pPr>
        <w:pStyle w:val="ListParagraph"/>
        <w:numPr>
          <w:ilvl w:val="0"/>
          <w:numId w:val="2"/>
        </w:numPr>
        <w:spacing w:before="40" w:after="40"/>
      </w:pPr>
      <w:r>
        <w:rPr>
          <w:rFonts w:ascii="Arial" w:cs="Arial" w:eastAsia="Arial" w:hAnsi="Arial"/>
          <w:b w:val="false"/>
          <w:bCs w:val="false"/>
          <w:color w:val="1A1A1A"/>
          <w:sz w:val="22"/>
          <w:szCs w:val="22"/>
        </w:rPr>
        <w:t xml:space="preserve">Bank notifications: 5% FPR ceiling. These are higher-variance in content but seniors who trust their bank will be distressed by a false alarm. 5% is the ceiling; below 2% is the target once the model matures.</w:t>
      </w:r>
    </w:p>
    <w:p>
      <w:pPr>
        <w:pStyle w:val="ListParagraph"/>
        <w:numPr>
          <w:ilvl w:val="0"/>
          <w:numId w:val="2"/>
        </w:numPr>
        <w:spacing w:before="40" w:after="40"/>
      </w:pPr>
      <w:r>
        <w:rPr>
          <w:rFonts w:ascii="Arial" w:cs="Arial" w:eastAsia="Arial" w:hAnsi="Arial"/>
          <w:b w:val="false"/>
          <w:bCs w:val="false"/>
          <w:color w:val="1A1A1A"/>
          <w:sz w:val="22"/>
          <w:szCs w:val="22"/>
        </w:rPr>
        <w:t xml:space="preserve">Delivery notifications: 8% FPR ceiling. These are lower-stakes. A senior being told a FedEx tracking SMS is suspicious causes inconvenience but not financial harm. 8% is acceptable at launch.</w:t>
      </w:r>
    </w:p>
    <w:p>
      <w:pPr>
        <w:spacing w:before="80" w:after="0"/>
      </w:pPr>
      <w:r>
        <w:t xml:space="preserve"/>
      </w:r>
    </w:p>
    <w:p>
      <w:pPr>
        <w:spacing w:before="200" w:after="80"/>
      </w:pPr>
      <w:r>
        <w:rPr>
          <w:rFonts w:ascii="Arial" w:cs="Arial" w:eastAsia="Arial" w:hAnsi="Arial"/>
          <w:b/>
          <w:bCs/>
          <w:color w:val="1E3A5F"/>
          <w:sz w:val="23"/>
          <w:szCs w:val="23"/>
        </w:rPr>
        <w:t xml:space="preserve">How to set this in practice</w:t>
      </w:r>
    </w:p>
    <w:p>
      <w:pPr>
        <w:spacing w:before="60" w:after="80"/>
      </w:pPr>
      <w:r>
        <w:rPr>
          <w:rFonts w:ascii="Arial" w:cs="Arial" w:eastAsia="Arial" w:hAnsi="Arial"/>
          <w:color w:val="1A1A1A"/>
          <w:sz w:val="22"/>
          <w:szCs w:val="22"/>
        </w:rPr>
        <w:t xml:space="preserve">Before running threshold calibration, the product lead and trust/safety lead must agree on these numbers in writing and they must not change based on model results. If you look at model performance first and then set the thresholds to fit what the model achieves, you have eliminated the protection this process is supposed to provide.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before="0" w:after="60"/>
            </w:pPr>
            <w:r>
              <w:rPr>
                <w:rFonts w:ascii="Arial" w:cs="Arial" w:eastAsia="Arial" w:hAnsi="Arial"/>
                <w:b/>
                <w:bCs/>
                <w:color w:val="7F4F24"/>
                <w:sz w:val="22"/>
                <w:szCs w:val="22"/>
              </w:rPr>
              <w:t xml:space="preserve">Confidence: Medium</w:t>
            </w:r>
          </w:p>
          <w:p>
            <w:pPr>
              <w:spacing w:before="0" w:after="0"/>
            </w:pPr>
            <w:r>
              <w:rPr>
                <w:rFonts w:ascii="Arial" w:cs="Arial" w:eastAsia="Arial" w:hAnsi="Arial"/>
                <w:color w:val="1A1A1A"/>
                <w:sz w:val="22"/>
                <w:szCs w:val="22"/>
              </w:rPr>
              <w:t xml:space="preserve">These numbers are grounded in analogous spam filter literature and fraud detection product design, not empirical data from your specific user population. Validate by sampling real OTP and bank message false-positive rates from your production traffic in the first month post-launch.</w:t>
            </w:r>
          </w:p>
        </w:tc>
      </w:tr>
    </w:tbl>
    <w:p>
      <w:pPr>
        <w:spacing w:before="80" w:after="0"/>
      </w:pPr>
      <w:r>
        <w:t xml:space="preserve"/>
      </w:r>
    </w:p>
    <w:p>
      <w:r>
        <w:br w:type="page"/>
      </w:r>
    </w:p>
    <w:p>
      <w:pPr>
        <w:pStyle w:val="Heading1"/>
        <w:spacing w:before="480" w:after="200"/>
      </w:pPr>
      <w:r>
        <w:rPr>
          <w:rFonts w:ascii="Arial" w:cs="Arial" w:eastAsia="Arial" w:hAnsi="Arial"/>
          <w:b/>
          <w:bCs/>
          <w:color w:val="1E3A5F"/>
          <w:sz w:val="32"/>
          <w:szCs w:val="32"/>
        </w:rPr>
        <w:t xml:space="preserve">Q5. Do India and US require different threshold offsets from day one?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pPr>
              <w:spacing w:before="0" w:after="60"/>
            </w:pPr>
            <w:r>
              <w:rPr>
                <w:rFonts w:ascii="Arial" w:cs="Arial" w:eastAsia="Arial" w:hAnsi="Arial"/>
                <w:b/>
                <w:bCs/>
                <w:color w:val="1E3A5F"/>
                <w:sz w:val="22"/>
                <w:szCs w:val="22"/>
              </w:rPr>
              <w:t xml:space="preserve">Recommendation</w:t>
            </w:r>
          </w:p>
          <w:p>
            <w:pPr>
              <w:spacing w:before="0" w:after="0"/>
            </w:pPr>
            <w:r>
              <w:rPr>
                <w:rFonts w:ascii="Arial" w:cs="Arial" w:eastAsia="Arial" w:hAnsi="Arial"/>
                <w:color w:val="1A1A1A"/>
                <w:sz w:val="22"/>
                <w:szCs w:val="22"/>
              </w:rPr>
              <w:t xml:space="preserve">Ship a single unified threshold set on day one. Plan for market-specific offsets in v1.1, triggered only if benchmark data shows statistically significant performance differences by market.</w:t>
            </w:r>
          </w:p>
        </w:tc>
      </w:tr>
    </w:tbl>
    <w:p>
      <w:pPr>
        <w:spacing w:before="80" w:after="0"/>
      </w:pPr>
      <w:r>
        <w:t xml:space="preserve"/>
      </w:r>
    </w:p>
    <w:p>
      <w:pPr>
        <w:spacing w:before="200" w:after="80"/>
      </w:pPr>
      <w:r>
        <w:rPr>
          <w:rFonts w:ascii="Arial" w:cs="Arial" w:eastAsia="Arial" w:hAnsi="Arial"/>
          <w:b/>
          <w:bCs/>
          <w:color w:val="1E3A5F"/>
          <w:sz w:val="23"/>
          <w:szCs w:val="23"/>
        </w:rPr>
        <w:t xml:space="preserve">Reasoning</w:t>
      </w:r>
    </w:p>
    <w:p>
      <w:pPr>
        <w:spacing w:before="60" w:after="80"/>
      </w:pPr>
      <w:r>
        <w:rPr>
          <w:rFonts w:ascii="Arial" w:cs="Arial" w:eastAsia="Arial" w:hAnsi="Arial"/>
          <w:color w:val="1A1A1A"/>
          <w:sz w:val="22"/>
          <w:szCs w:val="22"/>
        </w:rPr>
        <w:t xml:space="preserve">The argument for market-specific thresholds from day one rests on the assumption that the scam distribution, language patterns, and legitimate message patterns differ enough between India and the US to require different decision boundaries. This is likely true in the long run but not proven at v1 launch for three reasons.</w:t>
      </w:r>
    </w:p>
    <w:p>
      <w:pPr>
        <w:pStyle w:val="ListParagraph"/>
        <w:numPr>
          <w:ilvl w:val="0"/>
          <w:numId w:val="2"/>
        </w:numPr>
        <w:spacing w:before="40" w:after="40"/>
      </w:pPr>
      <w:r>
        <w:rPr>
          <w:rFonts w:ascii="Arial" w:cs="Arial" w:eastAsia="Arial" w:hAnsi="Arial"/>
          <w:b w:val="false"/>
          <w:bCs w:val="false"/>
          <w:color w:val="1A1A1A"/>
          <w:sz w:val="22"/>
          <w:szCs w:val="22"/>
        </w:rPr>
        <w:t xml:space="preserve">You do not have enough production data at launch to calibrate two separate thresholds reliably. A threshold calibrated on 50 India-market samples will have wide confidence intervals.</w:t>
      </w:r>
    </w:p>
    <w:p>
      <w:pPr>
        <w:pStyle w:val="ListParagraph"/>
        <w:numPr>
          <w:ilvl w:val="0"/>
          <w:numId w:val="2"/>
        </w:numPr>
        <w:spacing w:before="40" w:after="40"/>
      </w:pPr>
      <w:r>
        <w:rPr>
          <w:rFonts w:ascii="Arial" w:cs="Arial" w:eastAsia="Arial" w:hAnsi="Arial"/>
          <w:b w:val="false"/>
          <w:bCs w:val="false"/>
          <w:color w:val="1A1A1A"/>
          <w:sz w:val="22"/>
          <w:szCs w:val="22"/>
        </w:rPr>
        <w:t xml:space="preserve">The five scam categories are structurally similar across markets. Impersonation, credential theft, and payment extraction follow the same linguistic pattern regardless of whether the currency is INR or USD.</w:t>
      </w:r>
    </w:p>
    <w:p>
      <w:pPr>
        <w:pStyle w:val="ListParagraph"/>
        <w:numPr>
          <w:ilvl w:val="0"/>
          <w:numId w:val="2"/>
        </w:numPr>
        <w:spacing w:before="40" w:after="40"/>
      </w:pPr>
      <w:r>
        <w:rPr>
          <w:rFonts w:ascii="Arial" w:cs="Arial" w:eastAsia="Arial" w:hAnsi="Arial"/>
          <w:b w:val="false"/>
          <w:bCs w:val="false"/>
          <w:color w:val="1A1A1A"/>
          <w:sz w:val="22"/>
          <w:szCs w:val="22"/>
        </w:rPr>
        <w:t xml:space="preserve">The primary risk of early divergence is introducing two systems to debug simultaneously before either is validated.</w:t>
      </w:r>
    </w:p>
    <w:p>
      <w:pPr>
        <w:spacing w:before="80" w:after="0"/>
      </w:pPr>
      <w:r>
        <w:t xml:space="preserve"/>
      </w:r>
    </w:p>
    <w:p>
      <w:pPr>
        <w:spacing w:before="200" w:after="80"/>
      </w:pPr>
      <w:r>
        <w:rPr>
          <w:rFonts w:ascii="Arial" w:cs="Arial" w:eastAsia="Arial" w:hAnsi="Arial"/>
          <w:b/>
          <w:bCs/>
          <w:color w:val="1E3A5F"/>
          <w:sz w:val="23"/>
          <w:szCs w:val="23"/>
        </w:rPr>
        <w:t xml:space="preserve">Where India and US differ — prepare for v1.1</w:t>
      </w:r>
    </w:p>
    <w:p>
      <w:pPr>
        <w:spacing w:before="60" w:after="80"/>
      </w:pPr>
      <w:r>
        <w:rPr>
          <w:rFonts w:ascii="Arial" w:cs="Arial" w:eastAsia="Arial" w:hAnsi="Arial"/>
          <w:color w:val="1A1A1A"/>
          <w:sz w:val="22"/>
          <w:szCs w:val="22"/>
        </w:rPr>
        <w:t xml:space="preserve">The genuine market differences that will likely require adaptation are:</w:t>
      </w:r>
    </w:p>
    <w:p>
      <w:pPr>
        <w:pStyle w:val="ListParagraph"/>
        <w:numPr>
          <w:ilvl w:val="0"/>
          <w:numId w:val="2"/>
        </w:numPr>
        <w:spacing w:before="40" w:after="40"/>
      </w:pPr>
      <w:r>
        <w:rPr>
          <w:rFonts w:ascii="Arial" w:cs="Arial" w:eastAsia="Arial" w:hAnsi="Arial"/>
          <w:b w:val="false"/>
          <w:bCs w:val="false"/>
          <w:color w:val="1A1A1A"/>
          <w:sz w:val="22"/>
          <w:szCs w:val="22"/>
        </w:rPr>
        <w:t xml:space="preserve">Sender patterns: Indian legitimate messages frequently use alphanumeric sender IDs (e.g. 'HDFCBK', 'JIOTEL') rather than phone numbers. A model trained primarily on US data may flag these as suspicious.</w:t>
      </w:r>
    </w:p>
    <w:p>
      <w:pPr>
        <w:pStyle w:val="ListParagraph"/>
        <w:numPr>
          <w:ilvl w:val="0"/>
          <w:numId w:val="2"/>
        </w:numPr>
        <w:spacing w:before="40" w:after="40"/>
      </w:pPr>
      <w:r>
        <w:rPr>
          <w:rFonts w:ascii="Arial" w:cs="Arial" w:eastAsia="Arial" w:hAnsi="Arial"/>
          <w:b w:val="false"/>
          <w:bCs w:val="false"/>
          <w:color w:val="1A1A1A"/>
          <w:sz w:val="22"/>
          <w:szCs w:val="22"/>
        </w:rPr>
        <w:t xml:space="preserve">Message structure: Indian bank and telecom alerts frequently embed amounts, account numbers, and UPI handles in ways that superficially resemble credential theft messages.</w:t>
      </w:r>
    </w:p>
    <w:p>
      <w:pPr>
        <w:pStyle w:val="ListParagraph"/>
        <w:numPr>
          <w:ilvl w:val="0"/>
          <w:numId w:val="2"/>
        </w:numPr>
        <w:spacing w:before="40" w:after="40"/>
      </w:pPr>
      <w:r>
        <w:rPr>
          <w:rFonts w:ascii="Arial" w:cs="Arial" w:eastAsia="Arial" w:hAnsi="Arial"/>
          <w:b w:val="false"/>
          <w:bCs w:val="false"/>
          <w:color w:val="1A1A1A"/>
          <w:sz w:val="22"/>
          <w:szCs w:val="22"/>
        </w:rPr>
        <w:t xml:space="preserve">Language density: Indian English SMS uses more abbreviations and non-standard contractions than US English.</w:t>
      </w:r>
    </w:p>
    <w:p>
      <w:pPr>
        <w:spacing w:before="60" w:after="80"/>
      </w:pPr>
      <w:r>
        <w:rPr>
          <w:rFonts w:ascii="Arial" w:cs="Arial" w:eastAsia="Arial" w:hAnsi="Arial"/>
          <w:color w:val="1A1A1A"/>
          <w:sz w:val="22"/>
          <w:szCs w:val="22"/>
        </w:rPr>
        <w:t xml:space="preserve">These differences should be represented in your benchmark Layer B (India vs US split), and the benchmark confusion matrix should be reported separately by market. If the India false-positive rate on legitimate bank messages exceeds the US rate by more than 5 percentage points, introduce a market-specific offset.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before="0" w:after="60"/>
            </w:pPr>
            <w:r>
              <w:rPr>
                <w:rFonts w:ascii="Arial" w:cs="Arial" w:eastAsia="Arial" w:hAnsi="Arial"/>
                <w:b/>
                <w:bCs/>
                <w:color w:val="7F4F24"/>
                <w:sz w:val="22"/>
                <w:szCs w:val="22"/>
              </w:rPr>
              <w:t xml:space="preserve">Confidence: Medium-High</w:t>
            </w:r>
          </w:p>
          <w:p>
            <w:pPr>
              <w:spacing w:before="0" w:after="0"/>
            </w:pPr>
            <w:r>
              <w:rPr>
                <w:rFonts w:ascii="Arial" w:cs="Arial" w:eastAsia="Arial" w:hAnsi="Arial"/>
                <w:color w:val="1A1A1A"/>
                <w:sz w:val="22"/>
                <w:szCs w:val="22"/>
              </w:rPr>
              <w:t xml:space="preserve">The 'ship unified, diverge on evidence' principle is well-grounded in ML product design. The specific threshold at which divergence is justified is a product decision.</w:t>
            </w:r>
          </w:p>
        </w:tc>
      </w:tr>
    </w:tbl>
    <w:p>
      <w:pPr>
        <w:spacing w:before="80" w:after="0"/>
      </w:pPr>
      <w:r>
        <w:t xml:space="preserve"/>
      </w:r>
    </w:p>
    <w:p>
      <w:r>
        <w:br w:type="page"/>
      </w:r>
    </w:p>
    <w:p>
      <w:pPr>
        <w:pStyle w:val="Heading1"/>
        <w:spacing w:before="480" w:after="200"/>
      </w:pPr>
      <w:r>
        <w:rPr>
          <w:rFonts w:ascii="Arial" w:cs="Arial" w:eastAsia="Arial" w:hAnsi="Arial"/>
          <w:b/>
          <w:bCs/>
          <w:color w:val="1E3A5F"/>
          <w:sz w:val="32"/>
          <w:szCs w:val="32"/>
        </w:rPr>
        <w:t xml:space="preserve">Q6. Should the category label be shown to users in v1?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pPr>
              <w:spacing w:before="0" w:after="60"/>
            </w:pPr>
            <w:r>
              <w:rPr>
                <w:rFonts w:ascii="Arial" w:cs="Arial" w:eastAsia="Arial" w:hAnsi="Arial"/>
                <w:b/>
                <w:bCs/>
                <w:color w:val="1E3A5F"/>
                <w:sz w:val="22"/>
                <w:szCs w:val="22"/>
              </w:rPr>
              <w:t xml:space="preserve">Recommendation</w:t>
            </w:r>
          </w:p>
          <w:p>
            <w:pPr>
              <w:spacing w:before="0" w:after="0"/>
            </w:pPr>
            <w:r>
              <w:rPr>
                <w:rFonts w:ascii="Arial" w:cs="Arial" w:eastAsia="Arial" w:hAnsi="Arial"/>
                <w:color w:val="1A1A1A"/>
                <w:sz w:val="22"/>
                <w:szCs w:val="22"/>
              </w:rPr>
              <w:t xml:space="preserve">Show the category in v1, but below the fold — not as part of the primary result. Primary result = label + explanation + action. Category = secondary detail for users who want to understand more.</w:t>
            </w:r>
          </w:p>
        </w:tc>
      </w:tr>
    </w:tbl>
    <w:p>
      <w:pPr>
        <w:spacing w:before="80" w:after="0"/>
      </w:pPr>
      <w:r>
        <w:t xml:space="preserve"/>
      </w:r>
    </w:p>
    <w:p>
      <w:pPr>
        <w:spacing w:before="200" w:after="80"/>
      </w:pPr>
      <w:r>
        <w:rPr>
          <w:rFonts w:ascii="Arial" w:cs="Arial" w:eastAsia="Arial" w:hAnsi="Arial"/>
          <w:b/>
          <w:bCs/>
          <w:color w:val="1E3A5F"/>
          <w:sz w:val="23"/>
          <w:szCs w:val="23"/>
        </w:rPr>
        <w:t xml:space="preserve">Reasoning</w:t>
      </w:r>
    </w:p>
    <w:p>
      <w:pPr>
        <w:spacing w:before="60" w:after="80"/>
      </w:pPr>
      <w:r>
        <w:rPr>
          <w:rFonts w:ascii="Arial" w:cs="Arial" w:eastAsia="Arial" w:hAnsi="Arial"/>
          <w:color w:val="1A1A1A"/>
          <w:sz w:val="22"/>
          <w:szCs w:val="22"/>
        </w:rPr>
        <w:t xml:space="preserve">The category label serves two distinct audiences: the senior user who needs to understand what kind of threat they are facing, and the caregiver or support person who may be helping interpret the result after the fact. These two needs justify different UX treatments.</w:t>
      </w:r>
    </w:p>
    <w:p>
      <w:pPr>
        <w:spacing w:before="60" w:after="80"/>
      </w:pPr>
      <w:r>
        <w:rPr>
          <w:rFonts w:ascii="Arial" w:cs="Arial" w:eastAsia="Arial" w:hAnsi="Arial"/>
          <w:color w:val="1A1A1A"/>
          <w:sz w:val="22"/>
          <w:szCs w:val="22"/>
        </w:rPr>
        <w:t xml:space="preserve">For the senior user, the category label risks adding cognitive load to the primary result screen. 'Impersonation' is not a word that every 70-year-old will immediately interpret correctly. However, a simplified category label — 'Pretending to be your bank', 'Asking for your password' — has real educational value and may help seniors recognise future scams of the same type.</w:t>
      </w:r>
    </w:p>
    <w:p>
      <w:pPr>
        <w:spacing w:before="60" w:after="80"/>
      </w:pPr>
      <w:r>
        <w:rPr>
          <w:rFonts w:ascii="Arial" w:cs="Arial" w:eastAsia="Arial" w:hAnsi="Arial"/>
          <w:color w:val="1A1A1A"/>
          <w:sz w:val="22"/>
          <w:szCs w:val="22"/>
        </w:rPr>
        <w:t xml:space="preserve">The compromise is: show the risk state (label + colour) and the explanation at full size on the primary screen. Show the category label, in plain-English form, in a collapsible 'More details' section or as a secondary line below the explanation. This pattern is used successfully by Google Safe Browsing and by the iOS phishing warnings.</w:t>
      </w:r>
    </w:p>
    <w:p>
      <w:pPr>
        <w:spacing w:before="80" w:after="0"/>
      </w:pPr>
      <w:r>
        <w:t xml:space="preserve"/>
      </w:r>
    </w:p>
    <w:p>
      <w:pPr>
        <w:spacing w:before="200" w:after="80"/>
      </w:pPr>
      <w:r>
        <w:rPr>
          <w:rFonts w:ascii="Arial" w:cs="Arial" w:eastAsia="Arial" w:hAnsi="Arial"/>
          <w:b/>
          <w:bCs/>
          <w:color w:val="1E3A5F"/>
          <w:sz w:val="23"/>
          <w:szCs w:val="23"/>
        </w:rPr>
        <w:t xml:space="preserve">Plain-English category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Internal category</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Plain-English label for seniors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impersonation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Pretending to be your bank, government, or a company you know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credential_theft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Trying to steal your password, PIN, or security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payment_extraction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Asking for money or your bank details urgently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tech_support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Claiming your phone or account has a problem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pressure_fraud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Using fear or urgency to make you act without thinking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before="0" w:after="60"/>
            </w:pPr>
            <w:r>
              <w:rPr>
                <w:rFonts w:ascii="Arial" w:cs="Arial" w:eastAsia="Arial" w:hAnsi="Arial"/>
                <w:b/>
                <w:bCs/>
                <w:color w:val="7F4F24"/>
                <w:sz w:val="22"/>
                <w:szCs w:val="22"/>
              </w:rPr>
              <w:t xml:space="preserve">Confidence: Medium-High</w:t>
            </w:r>
          </w:p>
          <w:p>
            <w:pPr>
              <w:spacing w:before="0" w:after="0"/>
            </w:pPr>
            <w:r>
              <w:rPr>
                <w:rFonts w:ascii="Arial" w:cs="Arial" w:eastAsia="Arial" w:hAnsi="Arial"/>
                <w:color w:val="1A1A1A"/>
                <w:sz w:val="22"/>
                <w:szCs w:val="22"/>
              </w:rPr>
              <w:t xml:space="preserve">The 'secondary detail' placement is grounded in information hierarchy research for older adults. The plain-English category labels above should be validated in the same copy test as the result labels.</w:t>
            </w:r>
          </w:p>
        </w:tc>
      </w:tr>
    </w:tbl>
    <w:p>
      <w:pPr>
        <w:spacing w:before="80" w:after="0"/>
      </w:pPr>
      <w:r>
        <w:t xml:space="preserve"/>
      </w:r>
    </w:p>
    <w:p>
      <w:r>
        <w:br w:type="page"/>
      </w:r>
    </w:p>
    <w:p>
      <w:pPr>
        <w:pStyle w:val="Heading1"/>
        <w:spacing w:before="480" w:after="200"/>
      </w:pPr>
      <w:r>
        <w:rPr>
          <w:rFonts w:ascii="Arial" w:cs="Arial" w:eastAsia="Arial" w:hAnsi="Arial"/>
          <w:b/>
          <w:bCs/>
          <w:color w:val="1E3A5F"/>
          <w:sz w:val="32"/>
          <w:szCs w:val="32"/>
        </w:rPr>
        <w:t xml:space="preserve">Q7. What is the right second-pass model for ambiguous cases?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pPr>
              <w:spacing w:before="0" w:after="60"/>
            </w:pPr>
            <w:r>
              <w:rPr>
                <w:rFonts w:ascii="Arial" w:cs="Arial" w:eastAsia="Arial" w:hAnsi="Arial"/>
                <w:b/>
                <w:bCs/>
                <w:color w:val="1E3A5F"/>
                <w:sz w:val="22"/>
                <w:szCs w:val="22"/>
              </w:rPr>
              <w:t xml:space="preserve">Recommendation</w:t>
            </w:r>
          </w:p>
          <w:p>
            <w:pPr>
              <w:spacing w:before="0" w:after="0"/>
            </w:pPr>
            <w:r>
              <w:rPr>
                <w:rFonts w:ascii="Arial" w:cs="Arial" w:eastAsia="Arial" w:hAnsi="Arial"/>
                <w:color w:val="1A1A1A"/>
                <w:sz w:val="22"/>
                <w:szCs w:val="22"/>
              </w:rPr>
              <w:t xml:space="preserve">Use an instruction-tuned LLM in the GPT-4o-mini / Claude Haiku / Gemini Flash class. Choose based on your infrastructure preference, not on marginal accuracy differences between these models on this task.</w:t>
            </w:r>
          </w:p>
        </w:tc>
      </w:tr>
    </w:tbl>
    <w:p>
      <w:pPr>
        <w:spacing w:before="80" w:after="0"/>
      </w:pPr>
      <w:r>
        <w:t xml:space="preserve"/>
      </w:r>
    </w:p>
    <w:p>
      <w:pPr>
        <w:spacing w:before="200" w:after="80"/>
      </w:pPr>
      <w:r>
        <w:rPr>
          <w:rFonts w:ascii="Arial" w:cs="Arial" w:eastAsia="Arial" w:hAnsi="Arial"/>
          <w:b/>
          <w:bCs/>
          <w:color w:val="1E3A5F"/>
          <w:sz w:val="23"/>
          <w:szCs w:val="23"/>
        </w:rPr>
        <w:t xml:space="preserve">Reasoning</w:t>
      </w:r>
    </w:p>
    <w:p>
      <w:pPr>
        <w:spacing w:before="60" w:after="80"/>
      </w:pPr>
      <w:r>
        <w:rPr>
          <w:rFonts w:ascii="Arial" w:cs="Arial" w:eastAsia="Arial" w:hAnsi="Arial"/>
          <w:color w:val="1A1A1A"/>
          <w:sz w:val="22"/>
          <w:szCs w:val="22"/>
        </w:rPr>
        <w:t xml:space="preserve">The second-pass model has three jobs the primary classifier cannot do: (1) reason about context and nuance, (2) produce a short plain-language explanation, and (3) assign a reliable category label. These requirements point to an instruction-tuned LLM rather than a larger fine-tuned classifier.</w:t>
      </w:r>
    </w:p>
    <w:p>
      <w:pPr>
        <w:spacing w:before="80" w:after="0"/>
      </w:pPr>
      <w:r>
        <w:t xml:space="preserve"/>
      </w:r>
    </w:p>
    <w:p>
      <w:pPr>
        <w:spacing w:before="200" w:after="80"/>
      </w:pPr>
      <w:r>
        <w:rPr>
          <w:rFonts w:ascii="Arial" w:cs="Arial" w:eastAsia="Arial" w:hAnsi="Arial"/>
          <w:b/>
          <w:bCs/>
          <w:color w:val="1E3A5F"/>
          <w:sz w:val="23"/>
          <w:szCs w:val="23"/>
        </w:rPr>
        <w:t xml:space="preserve">Why GPT-4o-mini / Haiku / Flash class and not a larger model</w:t>
      </w:r>
    </w:p>
    <w:p>
      <w:pPr>
        <w:pStyle w:val="ListParagraph"/>
        <w:numPr>
          <w:ilvl w:val="0"/>
          <w:numId w:val="2"/>
        </w:numPr>
        <w:spacing w:before="40" w:after="40"/>
      </w:pPr>
      <w:r>
        <w:rPr>
          <w:rFonts w:ascii="Arial" w:cs="Arial" w:eastAsia="Arial" w:hAnsi="Arial"/>
          <w:b w:val="false"/>
          <w:bCs w:val="false"/>
          <w:color w:val="1A1A1A"/>
          <w:sz w:val="22"/>
          <w:szCs w:val="22"/>
        </w:rPr>
        <w:t xml:space="preserve">The messages are short (typically under 300 tokens). A larger model provides almost no accuracy improvement on short-text classification over a well-prompted mid-size model.</w:t>
      </w:r>
    </w:p>
    <w:p>
      <w:pPr>
        <w:pStyle w:val="ListParagraph"/>
        <w:numPr>
          <w:ilvl w:val="0"/>
          <w:numId w:val="2"/>
        </w:numPr>
        <w:spacing w:before="40" w:after="40"/>
      </w:pPr>
      <w:r>
        <w:rPr>
          <w:rFonts w:ascii="Arial" w:cs="Arial" w:eastAsia="Arial" w:hAnsi="Arial"/>
          <w:b w:val="false"/>
          <w:bCs w:val="false"/>
          <w:color w:val="1A1A1A"/>
          <w:sz w:val="22"/>
          <w:szCs w:val="22"/>
        </w:rPr>
        <w:t xml:space="preserve">Latency on ambiguous cases is more forgivable — the user already knows the result is not immediate. A 1.5–3 second second-pass is acceptable; a 6–10 second wait is not.</w:t>
      </w:r>
    </w:p>
    <w:p>
      <w:pPr>
        <w:pStyle w:val="ListParagraph"/>
        <w:numPr>
          <w:ilvl w:val="0"/>
          <w:numId w:val="2"/>
        </w:numPr>
        <w:spacing w:before="40" w:after="40"/>
      </w:pPr>
      <w:r>
        <w:rPr>
          <w:rFonts w:ascii="Arial" w:cs="Arial" w:eastAsia="Arial" w:hAnsi="Arial"/>
          <w:b w:val="false"/>
          <w:bCs w:val="false"/>
          <w:color w:val="1A1A1A"/>
          <w:sz w:val="22"/>
          <w:szCs w:val="22"/>
        </w:rPr>
        <w:t xml:space="preserve">Cost: at $0.0003–0.0008 per second-pass call, if 20% of checks route here, blended cost per check stays below $0.0002. Larger models at $0.003–0.015 per call would make the economics non-viable at scale.</w:t>
      </w:r>
    </w:p>
    <w:p>
      <w:pPr>
        <w:spacing w:before="80" w:after="0"/>
      </w:pPr>
      <w:r>
        <w:t xml:space="preserve"/>
      </w:r>
    </w:p>
    <w:p>
      <w:pPr>
        <w:spacing w:before="200" w:after="80"/>
      </w:pPr>
      <w:r>
        <w:rPr>
          <w:rFonts w:ascii="Arial" w:cs="Arial" w:eastAsia="Arial" w:hAnsi="Arial"/>
          <w:b/>
          <w:bCs/>
          <w:color w:val="1E3A5F"/>
          <w:sz w:val="23"/>
          <w:szCs w:val="23"/>
        </w:rPr>
        <w:t xml:space="preserve">Prompt design matters more than model choice at this tier</w:t>
      </w:r>
    </w:p>
    <w:p>
      <w:pPr>
        <w:spacing w:before="60" w:after="80"/>
      </w:pPr>
      <w:r>
        <w:rPr>
          <w:rFonts w:ascii="Arial" w:cs="Arial" w:eastAsia="Arial" w:hAnsi="Arial"/>
          <w:color w:val="1A1A1A"/>
          <w:sz w:val="22"/>
          <w:szCs w:val="22"/>
        </w:rPr>
        <w:t xml:space="preserve">At the GPT-4o-mini/Haiku/Flash tier, the prompt quality will determine performance more than the specific model. The prompt must:</w:t>
      </w:r>
    </w:p>
    <w:p>
      <w:pPr>
        <w:pStyle w:val="ListParagraph"/>
        <w:numPr>
          <w:ilvl w:val="0"/>
          <w:numId w:val="2"/>
        </w:numPr>
        <w:spacing w:before="40" w:after="40"/>
      </w:pPr>
      <w:r>
        <w:rPr>
          <w:rFonts w:ascii="Arial" w:cs="Arial" w:eastAsia="Arial" w:hAnsi="Arial"/>
          <w:b w:val="false"/>
          <w:bCs w:val="false"/>
          <w:color w:val="1A1A1A"/>
          <w:sz w:val="22"/>
          <w:szCs w:val="22"/>
        </w:rPr>
        <w:t xml:space="preserve">Provide the five category definitions explicitly.</w:t>
      </w:r>
    </w:p>
    <w:p>
      <w:pPr>
        <w:pStyle w:val="ListParagraph"/>
        <w:numPr>
          <w:ilvl w:val="0"/>
          <w:numId w:val="2"/>
        </w:numPr>
        <w:spacing w:before="40" w:after="40"/>
      </w:pPr>
      <w:r>
        <w:rPr>
          <w:rFonts w:ascii="Arial" w:cs="Arial" w:eastAsia="Arial" w:hAnsi="Arial"/>
          <w:b w:val="false"/>
          <w:bCs w:val="false"/>
          <w:color w:val="1A1A1A"/>
          <w:sz w:val="22"/>
          <w:szCs w:val="22"/>
        </w:rPr>
        <w:t xml:space="preserve">Provide the three state definitions with examples of each.</w:t>
      </w:r>
    </w:p>
    <w:p>
      <w:pPr>
        <w:pStyle w:val="ListParagraph"/>
        <w:numPr>
          <w:ilvl w:val="0"/>
          <w:numId w:val="2"/>
        </w:numPr>
        <w:spacing w:before="40" w:after="40"/>
      </w:pPr>
      <w:r>
        <w:rPr>
          <w:rFonts w:ascii="Arial" w:cs="Arial" w:eastAsia="Arial" w:hAnsi="Arial"/>
          <w:b w:val="false"/>
          <w:bCs w:val="false"/>
          <w:color w:val="1A1A1A"/>
          <w:sz w:val="22"/>
          <w:szCs w:val="22"/>
        </w:rPr>
        <w:t xml:space="preserve">Instruct the model to return a structured JSON object (state, category, explanation ≤120 chars, next action).</w:t>
      </w:r>
    </w:p>
    <w:p>
      <w:pPr>
        <w:pStyle w:val="ListParagraph"/>
        <w:numPr>
          <w:ilvl w:val="0"/>
          <w:numId w:val="2"/>
        </w:numPr>
        <w:spacing w:before="40" w:after="40"/>
      </w:pPr>
      <w:r>
        <w:rPr>
          <w:rFonts w:ascii="Arial" w:cs="Arial" w:eastAsia="Arial" w:hAnsi="Arial"/>
          <w:b w:val="false"/>
          <w:bCs w:val="false"/>
          <w:color w:val="1A1A1A"/>
          <w:sz w:val="22"/>
          <w:szCs w:val="22"/>
        </w:rPr>
        <w:t xml:space="preserve">Explicitly instruct the model to prefer 'unclear' over 'not_scam' when evidence is insufficient.</w:t>
      </w:r>
    </w:p>
    <w:p>
      <w:pPr>
        <w:pStyle w:val="ListParagraph"/>
        <w:numPr>
          <w:ilvl w:val="0"/>
          <w:numId w:val="2"/>
        </w:numPr>
        <w:spacing w:before="40" w:after="40"/>
      </w:pPr>
      <w:r>
        <w:rPr>
          <w:rFonts w:ascii="Arial" w:cs="Arial" w:eastAsia="Arial" w:hAnsi="Arial"/>
          <w:b w:val="false"/>
          <w:bCs w:val="false"/>
          <w:color w:val="1A1A1A"/>
          <w:sz w:val="22"/>
          <w:szCs w:val="22"/>
        </w:rPr>
        <w:t xml:space="preserve">Include 3–5 few-shot examples covering the hardest cases (OTP messages, legitimate bank alerts, grey-area solicitations).</w:t>
      </w:r>
    </w:p>
    <w:p>
      <w:pPr>
        <w:spacing w:before="80" w:after="0"/>
      </w:pPr>
      <w:r>
        <w:t xml:space="preserve"/>
      </w:r>
    </w:p>
    <w:p>
      <w:pPr>
        <w:spacing w:before="200" w:after="80"/>
      </w:pPr>
      <w:r>
        <w:rPr>
          <w:rFonts w:ascii="Arial" w:cs="Arial" w:eastAsia="Arial" w:hAnsi="Arial"/>
          <w:b/>
          <w:bCs/>
          <w:color w:val="1E3A5F"/>
          <w:sz w:val="23"/>
          <w:szCs w:val="23"/>
        </w:rPr>
        <w:t xml:space="preserve">Consistency requirement</w:t>
      </w:r>
    </w:p>
    <w:p>
      <w:pPr>
        <w:spacing w:before="60" w:after="80"/>
      </w:pPr>
      <w:r>
        <w:rPr>
          <w:rFonts w:ascii="Arial" w:cs="Arial" w:eastAsia="Arial" w:hAnsi="Arial"/>
          <w:color w:val="1A1A1A"/>
          <w:sz w:val="22"/>
          <w:szCs w:val="22"/>
        </w:rPr>
        <w:t xml:space="preserve">Run the same ambiguous message through the second-pass model three times. If the output differs, the prompt is ambiguous. Consistency on repeated identical inputs should exceed 95% before the model is deployed to production.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before="0" w:after="60"/>
            </w:pPr>
            <w:r>
              <w:rPr>
                <w:rFonts w:ascii="Arial" w:cs="Arial" w:eastAsia="Arial" w:hAnsi="Arial"/>
                <w:b/>
                <w:bCs/>
                <w:color w:val="7F4F24"/>
                <w:sz w:val="22"/>
                <w:szCs w:val="22"/>
              </w:rPr>
              <w:t xml:space="preserve">Confidence: Medium-High</w:t>
            </w:r>
          </w:p>
          <w:p>
            <w:pPr>
              <w:spacing w:before="0" w:after="0"/>
            </w:pPr>
            <w:r>
              <w:rPr>
                <w:rFonts w:ascii="Arial" w:cs="Arial" w:eastAsia="Arial" w:hAnsi="Arial"/>
                <w:color w:val="1A1A1A"/>
                <w:sz w:val="22"/>
                <w:szCs w:val="22"/>
              </w:rPr>
              <w:t xml:space="preserve">Model class recommendation is well-grounded. Specific model selection between GPT-4o-mini, Haiku, and Gemini Flash should be decided by a prompt-controlled A/B evaluation on your ambiguous benchmark cases.</w:t>
            </w:r>
          </w:p>
        </w:tc>
      </w:tr>
    </w:tbl>
    <w:p>
      <w:pPr>
        <w:spacing w:before="80" w:after="0"/>
      </w:pPr>
      <w:r>
        <w:t xml:space="preserve"/>
      </w:r>
    </w:p>
    <w:p>
      <w:r>
        <w:br w:type="page"/>
      </w:r>
    </w:p>
    <w:p>
      <w:pPr>
        <w:pStyle w:val="Heading1"/>
        <w:spacing w:before="480" w:after="200"/>
      </w:pPr>
      <w:r>
        <w:rPr>
          <w:rFonts w:ascii="Arial" w:cs="Arial" w:eastAsia="Arial" w:hAnsi="Arial"/>
          <w:b/>
          <w:bCs/>
          <w:color w:val="1E3A5F"/>
          <w:sz w:val="32"/>
          <w:szCs w:val="32"/>
        </w:rPr>
        <w:t xml:space="preserve">Q8. When exactly should the guest-to-account conversion prompt appear?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pPr>
              <w:spacing w:before="0" w:after="60"/>
            </w:pPr>
            <w:r>
              <w:rPr>
                <w:rFonts w:ascii="Arial" w:cs="Arial" w:eastAsia="Arial" w:hAnsi="Arial"/>
                <w:b/>
                <w:bCs/>
                <w:color w:val="1E3A5F"/>
                <w:sz w:val="22"/>
                <w:szCs w:val="22"/>
              </w:rPr>
              <w:t xml:space="preserve">Recommendation</w:t>
            </w:r>
          </w:p>
          <w:p>
            <w:pPr>
              <w:spacing w:before="0" w:after="0"/>
            </w:pPr>
            <w:r>
              <w:rPr>
                <w:rFonts w:ascii="Arial" w:cs="Arial" w:eastAsia="Arial" w:hAnsi="Arial"/>
                <w:color w:val="1A1A1A"/>
                <w:sz w:val="22"/>
                <w:szCs w:val="22"/>
              </w:rPr>
              <w:t xml:space="preserve">Immediately after a completed check that returns a scam or unclear result, as a soft one-tap prompt: 'Save this result so you can share it with family?' Never before the first result. Never blocking.</w:t>
            </w:r>
          </w:p>
        </w:tc>
      </w:tr>
    </w:tbl>
    <w:p>
      <w:pPr>
        <w:spacing w:before="80" w:after="0"/>
      </w:pPr>
      <w:r>
        <w:t xml:space="preserve"/>
      </w:r>
    </w:p>
    <w:p>
      <w:pPr>
        <w:spacing w:before="200" w:after="80"/>
      </w:pPr>
      <w:r>
        <w:rPr>
          <w:rFonts w:ascii="Arial" w:cs="Arial" w:eastAsia="Arial" w:hAnsi="Arial"/>
          <w:b/>
          <w:bCs/>
          <w:color w:val="1E3A5F"/>
          <w:sz w:val="23"/>
          <w:szCs w:val="23"/>
        </w:rPr>
        <w:t xml:space="preserve">Reasoning</w:t>
      </w:r>
    </w:p>
    <w:p>
      <w:pPr>
        <w:spacing w:before="60" w:after="80"/>
      </w:pPr>
      <w:r>
        <w:rPr>
          <w:rFonts w:ascii="Arial" w:cs="Arial" w:eastAsia="Arial" w:hAnsi="Arial"/>
          <w:color w:val="1A1A1A"/>
          <w:sz w:val="22"/>
          <w:szCs w:val="22"/>
        </w:rPr>
        <w:t xml:space="preserve">Guest-to-account conversion in high-trust utility apps follows a well-documented pattern: conversion rates are highest immediately after a moment of delivered value, when the user has concrete evidence that the app is useful and has a specific reason to want to save or share that value. This is called the 'value-first, friction-second' pattern.</w:t>
      </w:r>
    </w:p>
    <w:p>
      <w:pPr>
        <w:spacing w:before="60" w:after="80"/>
      </w:pPr>
      <w:r>
        <w:rPr>
          <w:rFonts w:ascii="Arial" w:cs="Arial" w:eastAsia="Arial" w:hAnsi="Arial"/>
          <w:color w:val="1A1A1A"/>
          <w:sz w:val="22"/>
          <w:szCs w:val="22"/>
        </w:rPr>
        <w:t xml:space="preserve">For this specific app, the optimal trigger is a completed scam or unclear result, not a safe result. A senior who has just been told 'this is a scam' has a strong emotional motivation to share that result with their adult child or caregiver. The conversion prompt should be attached to that motivation directly: 'Save this so you can show your family.'</w:t>
      </w:r>
    </w:p>
    <w:p>
      <w:pPr>
        <w:spacing w:before="80" w:after="0"/>
      </w:pPr>
      <w:r>
        <w:t xml:space="preserve"/>
      </w:r>
    </w:p>
    <w:p>
      <w:pPr>
        <w:spacing w:before="200" w:after="80"/>
      </w:pPr>
      <w:r>
        <w:rPr>
          <w:rFonts w:ascii="Arial" w:cs="Arial" w:eastAsia="Arial" w:hAnsi="Arial"/>
          <w:b/>
          <w:bCs/>
          <w:color w:val="1E3A5F"/>
          <w:sz w:val="23"/>
          <w:szCs w:val="23"/>
        </w:rPr>
        <w:t xml:space="preserve">What not to do</w:t>
      </w:r>
    </w:p>
    <w:p>
      <w:pPr>
        <w:pStyle w:val="ListParagraph"/>
        <w:numPr>
          <w:ilvl w:val="0"/>
          <w:numId w:val="2"/>
        </w:numPr>
        <w:spacing w:before="40" w:after="40"/>
      </w:pPr>
      <w:r>
        <w:rPr>
          <w:rFonts w:ascii="Arial" w:cs="Arial" w:eastAsia="Arial" w:hAnsi="Arial"/>
          <w:b w:val="false"/>
          <w:bCs w:val="false"/>
          <w:color w:val="1A1A1A"/>
          <w:sz w:val="22"/>
          <w:szCs w:val="22"/>
        </w:rPr>
        <w:t xml:space="preserve">Do not prompt for account creation before the first check. This is the highest-friction possible placement and will cause abandonment in exactly the population this product serves.</w:t>
      </w:r>
    </w:p>
    <w:p>
      <w:pPr>
        <w:pStyle w:val="ListParagraph"/>
        <w:numPr>
          <w:ilvl w:val="0"/>
          <w:numId w:val="2"/>
        </w:numPr>
        <w:spacing w:before="40" w:after="40"/>
      </w:pPr>
      <w:r>
        <w:rPr>
          <w:rFonts w:ascii="Arial" w:cs="Arial" w:eastAsia="Arial" w:hAnsi="Arial"/>
          <w:b w:val="false"/>
          <w:bCs w:val="false"/>
          <w:color w:val="1A1A1A"/>
          <w:sz w:val="22"/>
          <w:szCs w:val="22"/>
        </w:rPr>
        <w:t xml:space="preserve">Do not cap guest checks at a low number (e.g. 1 or 2) before prompting. Seniors who encounter a limit before understanding the product's value will uninstall.</w:t>
      </w:r>
    </w:p>
    <w:p>
      <w:pPr>
        <w:pStyle w:val="ListParagraph"/>
        <w:numPr>
          <w:ilvl w:val="0"/>
          <w:numId w:val="2"/>
        </w:numPr>
        <w:spacing w:before="40" w:after="40"/>
      </w:pPr>
      <w:r>
        <w:rPr>
          <w:rFonts w:ascii="Arial" w:cs="Arial" w:eastAsia="Arial" w:hAnsi="Arial"/>
          <w:b w:val="false"/>
          <w:bCs w:val="false"/>
          <w:color w:val="1A1A1A"/>
          <w:sz w:val="22"/>
          <w:szCs w:val="22"/>
        </w:rPr>
        <w:t xml:space="preserve">Do not use a modal blocking the result with the conversion prompt. The result must always be visible first, full size.</w:t>
      </w:r>
    </w:p>
    <w:p>
      <w:pPr>
        <w:pStyle w:val="ListParagraph"/>
        <w:numPr>
          <w:ilvl w:val="0"/>
          <w:numId w:val="2"/>
        </w:numPr>
        <w:spacing w:before="40" w:after="40"/>
      </w:pPr>
      <w:r>
        <w:rPr>
          <w:rFonts w:ascii="Arial" w:cs="Arial" w:eastAsia="Arial" w:hAnsi="Arial"/>
          <w:b w:val="false"/>
          <w:bCs w:val="false"/>
          <w:color w:val="1A1A1A"/>
          <w:sz w:val="22"/>
          <w:szCs w:val="22"/>
        </w:rPr>
        <w:t xml:space="preserve">Do not require email verification before the result history is visible. The prompt should be 'enter email → history is saved' with verification deferred to first re-login.</w:t>
      </w:r>
    </w:p>
    <w:p>
      <w:pPr>
        <w:spacing w:before="80" w:after="0"/>
      </w:pPr>
      <w:r>
        <w:t xml:space="preserve"/>
      </w:r>
    </w:p>
    <w:p>
      <w:pPr>
        <w:spacing w:before="200" w:after="80"/>
      </w:pPr>
      <w:r>
        <w:rPr>
          <w:rFonts w:ascii="Arial" w:cs="Arial" w:eastAsia="Arial" w:hAnsi="Arial"/>
          <w:b/>
          <w:bCs/>
          <w:color w:val="1E3A5F"/>
          <w:sz w:val="23"/>
          <w:szCs w:val="23"/>
        </w:rPr>
        <w:t xml:space="preserve">Soft rate limit for guest mode</w:t>
      </w:r>
    </w:p>
    <w:p>
      <w:pPr>
        <w:spacing w:before="60" w:after="80"/>
      </w:pPr>
      <w:r>
        <w:rPr>
          <w:rFonts w:ascii="Arial" w:cs="Arial" w:eastAsia="Arial" w:hAnsi="Arial"/>
          <w:color w:val="1A1A1A"/>
          <w:sz w:val="22"/>
          <w:szCs w:val="22"/>
        </w:rPr>
        <w:t xml:space="preserve">A soft limit of 5–10 checks per day per device is appropriate for abuse prevention but should be invisible to normal users. The limit should only trigger a prompt if the same device runs more than the daily cap — a pattern consistent with automated scraping rather than a senior user checking their messages.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pPr>
              <w:spacing w:before="0" w:after="60"/>
            </w:pPr>
            <w:r>
              <w:rPr>
                <w:rFonts w:ascii="Arial" w:cs="Arial" w:eastAsia="Arial" w:hAnsi="Arial"/>
                <w:b/>
                <w:bCs/>
                <w:color w:val="375623"/>
                <w:sz w:val="22"/>
                <w:szCs w:val="22"/>
              </w:rPr>
              <w:t xml:space="preserve">Confidence: High</w:t>
            </w:r>
          </w:p>
          <w:p>
            <w:pPr>
              <w:spacing w:before="0" w:after="0"/>
            </w:pPr>
            <w:r>
              <w:rPr>
                <w:rFonts w:ascii="Arial" w:cs="Arial" w:eastAsia="Arial" w:hAnsi="Arial"/>
                <w:color w:val="1A1A1A"/>
                <w:sz w:val="22"/>
                <w:szCs w:val="22"/>
              </w:rPr>
              <w:t xml:space="preserve">The value-first conversion pattern is well-established across mobile consumer apps. The specific trigger timing (post-scam/unclear result) is a product hypothesis to validate with your conversion data in the first month post-launch.</w:t>
            </w:r>
          </w:p>
        </w:tc>
      </w:tr>
    </w:tbl>
    <w:p>
      <w:pPr>
        <w:spacing w:before="80" w:after="0"/>
      </w:pPr>
      <w:r>
        <w:t xml:space="preserve"/>
      </w:r>
    </w:p>
    <w:p>
      <w:r>
        <w:br w:type="page"/>
      </w:r>
    </w:p>
    <w:p>
      <w:pPr>
        <w:pStyle w:val="Heading1"/>
        <w:spacing w:before="480" w:after="200"/>
      </w:pPr>
      <w:r>
        <w:rPr>
          <w:rFonts w:ascii="Arial" w:cs="Arial" w:eastAsia="Arial" w:hAnsi="Arial"/>
          <w:b/>
          <w:bCs/>
          <w:color w:val="1E3A5F"/>
          <w:sz w:val="32"/>
          <w:szCs w:val="32"/>
        </w:rPr>
        <w:t xml:space="preserve">Q9. Does cloud OCR fallback improve outcomes enough to justify the cost and privacy disclosure?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pPr>
              <w:spacing w:before="0" w:after="60"/>
            </w:pPr>
            <w:r>
              <w:rPr>
                <w:rFonts w:ascii="Arial" w:cs="Arial" w:eastAsia="Arial" w:hAnsi="Arial"/>
                <w:b/>
                <w:bCs/>
                <w:color w:val="1E3A5F"/>
                <w:sz w:val="22"/>
                <w:szCs w:val="22"/>
              </w:rPr>
              <w:t xml:space="preserve">Recommendation</w:t>
            </w:r>
          </w:p>
          <w:p>
            <w:pPr>
              <w:spacing w:before="0" w:after="0"/>
            </w:pPr>
            <w:r>
              <w:rPr>
                <w:rFonts w:ascii="Arial" w:cs="Arial" w:eastAsia="Arial" w:hAnsi="Arial"/>
                <w:color w:val="1A1A1A"/>
                <w:sz w:val="22"/>
                <w:szCs w:val="22"/>
              </w:rPr>
              <w:t xml:space="preserve">No for v1. Yes for v2 premium. The engineering and legal complexity of cloud OCR is not justified until you have measured the local OCR failure rate on real production traffic.</w:t>
            </w:r>
          </w:p>
        </w:tc>
      </w:tr>
    </w:tbl>
    <w:p>
      <w:pPr>
        <w:spacing w:before="80" w:after="0"/>
      </w:pPr>
      <w:r>
        <w:t xml:space="preserve"/>
      </w:r>
    </w:p>
    <w:p>
      <w:pPr>
        <w:spacing w:before="200" w:after="80"/>
      </w:pPr>
      <w:r>
        <w:rPr>
          <w:rFonts w:ascii="Arial" w:cs="Arial" w:eastAsia="Arial" w:hAnsi="Arial"/>
          <w:b/>
          <w:bCs/>
          <w:color w:val="1E3A5F"/>
          <w:sz w:val="23"/>
          <w:szCs w:val="23"/>
        </w:rPr>
        <w:t xml:space="preserve">Reasoning</w:t>
      </w:r>
    </w:p>
    <w:p>
      <w:pPr>
        <w:spacing w:before="60" w:after="80"/>
      </w:pPr>
      <w:r>
        <w:rPr>
          <w:rFonts w:ascii="Arial" w:cs="Arial" w:eastAsia="Arial" w:hAnsi="Arial"/>
          <w:color w:val="1A1A1A"/>
          <w:sz w:val="22"/>
          <w:szCs w:val="22"/>
        </w:rPr>
        <w:t xml:space="preserve">The case for cloud OCR rests on two assumptions: that local OCR fails frequently on real screenshots, and that cloud OCR fixes those failures. Both assumptions need to be tested before adding the complexity.</w:t>
      </w:r>
    </w:p>
    <w:p>
      <w:pPr>
        <w:spacing w:before="60" w:after="80"/>
      </w:pPr>
      <w:r>
        <w:rPr>
          <w:rFonts w:ascii="Arial" w:cs="Arial" w:eastAsia="Arial" w:hAnsi="Arial"/>
          <w:color w:val="1A1A1A"/>
          <w:sz w:val="22"/>
          <w:szCs w:val="22"/>
        </w:rPr>
        <w:t xml:space="preserve">Google Cloud Vision and AWS Textract both outperform ML Kit on hard images in published benchmarks — typical improvement is 10–20% character accuracy on highly compressed or blurry images. However, the marginal improvement on mobile screenshots specifically is lower, because ML Kit was specifically trained on that distribution. The improvement will be most visible on India-market screenshots where the image has been recompressed multiple times (e.g. forwarded through WhatsApp 3 times).</w:t>
      </w:r>
    </w:p>
    <w:p>
      <w:pPr>
        <w:spacing w:before="80" w:after="0"/>
      </w:pPr>
      <w:r>
        <w:t xml:space="preserve"/>
      </w:r>
    </w:p>
    <w:p>
      <w:pPr>
        <w:spacing w:before="200" w:after="80"/>
      </w:pPr>
      <w:r>
        <w:rPr>
          <w:rFonts w:ascii="Arial" w:cs="Arial" w:eastAsia="Arial" w:hAnsi="Arial"/>
          <w:b/>
          <w:bCs/>
          <w:color w:val="1E3A5F"/>
          <w:sz w:val="23"/>
          <w:szCs w:val="23"/>
        </w:rPr>
        <w:t xml:space="preserve">What cloud OCR costs</w:t>
      </w:r>
    </w:p>
    <w:p>
      <w:pPr>
        <w:pStyle w:val="ListParagraph"/>
        <w:numPr>
          <w:ilvl w:val="0"/>
          <w:numId w:val="2"/>
        </w:numPr>
        <w:spacing w:before="40" w:after="40"/>
      </w:pPr>
      <w:r>
        <w:rPr>
          <w:rFonts w:ascii="Arial" w:cs="Arial" w:eastAsia="Arial" w:hAnsi="Arial"/>
          <w:b w:val="false"/>
          <w:bCs w:val="false"/>
          <w:color w:val="1A1A1A"/>
          <w:sz w:val="22"/>
          <w:szCs w:val="22"/>
        </w:rPr>
        <w:t xml:space="preserve">Google Cloud Vision API: ~$1.50 per 1,000 images. At 10,000 daily checks with 10% OCR failure rate, cloud fallback costs ~$1.50/day — acceptable. At 100,000 daily checks, $15/day — still acceptable but must be accounted for.</w:t>
      </w:r>
    </w:p>
    <w:p>
      <w:pPr>
        <w:pStyle w:val="ListParagraph"/>
        <w:numPr>
          <w:ilvl w:val="0"/>
          <w:numId w:val="2"/>
        </w:numPr>
        <w:spacing w:before="40" w:after="40"/>
      </w:pPr>
      <w:r>
        <w:rPr>
          <w:rFonts w:ascii="Arial" w:cs="Arial" w:eastAsia="Arial" w:hAnsi="Arial"/>
          <w:b w:val="false"/>
          <w:bCs w:val="false"/>
          <w:color w:val="1A1A1A"/>
          <w:sz w:val="22"/>
          <w:szCs w:val="22"/>
        </w:rPr>
        <w:t xml:space="preserve">Privacy and legal cost: any cloud OCR use requires explicit disclosure in the privacy policy and ideally a user-visible indicator ('This screenshot was processed by Google's servers'). In India, this may implicate data localisation provisions. Legal review is required before shipping.</w:t>
      </w:r>
    </w:p>
    <w:p>
      <w:pPr>
        <w:pStyle w:val="ListParagraph"/>
        <w:numPr>
          <w:ilvl w:val="0"/>
          <w:numId w:val="2"/>
        </w:numPr>
        <w:spacing w:before="40" w:after="40"/>
      </w:pPr>
      <w:r>
        <w:rPr>
          <w:rFonts w:ascii="Arial" w:cs="Arial" w:eastAsia="Arial" w:hAnsi="Arial"/>
          <w:b w:val="false"/>
          <w:bCs w:val="false"/>
          <w:color w:val="1A1A1A"/>
          <w:sz w:val="22"/>
          <w:szCs w:val="22"/>
        </w:rPr>
        <w:t xml:space="preserve">Engineering cost: a cloud OCR code path, network error handling, retry logic, timeout handling, and the premium gate around it adds approximately 2–3 weeks of engineering work.</w:t>
      </w:r>
    </w:p>
    <w:p>
      <w:pPr>
        <w:spacing w:before="80" w:after="0"/>
      </w:pPr>
      <w:r>
        <w:t xml:space="preserve"/>
      </w:r>
    </w:p>
    <w:p>
      <w:pPr>
        <w:spacing w:before="200" w:after="80"/>
      </w:pPr>
      <w:r>
        <w:rPr>
          <w:rFonts w:ascii="Arial" w:cs="Arial" w:eastAsia="Arial" w:hAnsi="Arial"/>
          <w:b/>
          <w:bCs/>
          <w:color w:val="1E3A5F"/>
          <w:sz w:val="23"/>
          <w:szCs w:val="23"/>
        </w:rPr>
        <w:t xml:space="preserve">v1 alternative</w:t>
      </w:r>
    </w:p>
    <w:p>
      <w:pPr>
        <w:spacing w:before="60" w:after="80"/>
      </w:pPr>
      <w:r>
        <w:rPr>
          <w:rFonts w:ascii="Arial" w:cs="Arial" w:eastAsia="Arial" w:hAnsi="Arial"/>
          <w:color w:val="1A1A1A"/>
          <w:sz w:val="22"/>
          <w:szCs w:val="22"/>
        </w:rPr>
        <w:t xml:space="preserve">Instead of cloud OCR in v1, invest the same engineering effort in improving the local OCR failure UX: make 'Paste text instead' extremely easy to find and use, and measure what percentage of users successfully complete a check via text paste after local OCR fails. If paste completion rate is high (&gt;70%), cloud OCR is not urgent. If it is low, investigate why — it may be a UX problem, not an OCR problem.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before="0" w:after="60"/>
            </w:pPr>
            <w:r>
              <w:rPr>
                <w:rFonts w:ascii="Arial" w:cs="Arial" w:eastAsia="Arial" w:hAnsi="Arial"/>
                <w:b/>
                <w:bCs/>
                <w:color w:val="7F4F24"/>
                <w:sz w:val="22"/>
                <w:szCs w:val="22"/>
              </w:rPr>
              <w:t xml:space="preserve">Confidence: Medium-High</w:t>
            </w:r>
          </w:p>
          <w:p>
            <w:pPr>
              <w:spacing w:before="0" w:after="0"/>
            </w:pPr>
            <w:r>
              <w:rPr>
                <w:rFonts w:ascii="Arial" w:cs="Arial" w:eastAsia="Arial" w:hAnsi="Arial"/>
                <w:color w:val="1A1A1A"/>
                <w:sz w:val="22"/>
                <w:szCs w:val="22"/>
              </w:rPr>
              <w:t xml:space="preserve">The 'measure first, add cloud if justified' principle is correct. The specific failure rate threshold at which cloud OCR becomes worthwhile depends on your user population's screenshot quality distribution.</w:t>
            </w:r>
          </w:p>
        </w:tc>
      </w:tr>
    </w:tbl>
    <w:p>
      <w:pPr>
        <w:spacing w:before="80" w:after="0"/>
      </w:pPr>
      <w:r>
        <w:t xml:space="preserve"/>
      </w:r>
    </w:p>
    <w:p>
      <w:r>
        <w:br w:type="page"/>
      </w:r>
    </w:p>
    <w:p>
      <w:pPr>
        <w:pStyle w:val="Heading1"/>
        <w:spacing w:before="480" w:after="200"/>
      </w:pPr>
      <w:r>
        <w:rPr>
          <w:rFonts w:ascii="Arial" w:cs="Arial" w:eastAsia="Arial" w:hAnsi="Arial"/>
          <w:b/>
          <w:bCs/>
          <w:color w:val="1E3A5F"/>
          <w:sz w:val="32"/>
          <w:szCs w:val="32"/>
        </w:rPr>
        <w:t xml:space="preserve">Q10. What is the correct legal disclaimer strategy for both markets?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pPr>
              <w:spacing w:before="0" w:after="60"/>
            </w:pPr>
            <w:r>
              <w:rPr>
                <w:rFonts w:ascii="Arial" w:cs="Arial" w:eastAsia="Arial" w:hAnsi="Arial"/>
                <w:b/>
                <w:bCs/>
                <w:color w:val="1E3A5F"/>
                <w:sz w:val="22"/>
                <w:szCs w:val="22"/>
              </w:rPr>
              <w:t xml:space="preserve">Recommendation</w:t>
            </w:r>
          </w:p>
          <w:p>
            <w:pPr>
              <w:spacing w:before="0" w:after="0"/>
            </w:pPr>
            <w:r>
              <w:rPr>
                <w:rFonts w:ascii="Arial" w:cs="Arial" w:eastAsia="Arial" w:hAnsi="Arial"/>
                <w:color w:val="1A1A1A"/>
                <w:sz w:val="22"/>
                <w:szCs w:val="22"/>
              </w:rPr>
              <w:t xml:space="preserve">Short, plain-language disclaimer on first launch. One sentence covering: what the app does, what it does not guarantee, and where to get real help. Full terms accessible but not blocking. Get legal review for both markets before public launch.</w:t>
            </w:r>
          </w:p>
        </w:tc>
      </w:tr>
    </w:tbl>
    <w:p>
      <w:pPr>
        <w:spacing w:before="80" w:after="0"/>
      </w:pPr>
      <w:r>
        <w:t xml:space="preserve"/>
      </w:r>
    </w:p>
    <w:p>
      <w:pPr>
        <w:spacing w:before="200" w:after="80"/>
      </w:pPr>
      <w:r>
        <w:rPr>
          <w:rFonts w:ascii="Arial" w:cs="Arial" w:eastAsia="Arial" w:hAnsi="Arial"/>
          <w:b/>
          <w:bCs/>
          <w:color w:val="1E3A5F"/>
          <w:sz w:val="23"/>
          <w:szCs w:val="23"/>
        </w:rPr>
        <w:t xml:space="preserve">US legal context</w:t>
      </w:r>
    </w:p>
    <w:p>
      <w:pPr>
        <w:spacing w:before="60" w:after="80"/>
      </w:pPr>
      <w:r>
        <w:rPr>
          <w:rFonts w:ascii="Arial" w:cs="Arial" w:eastAsia="Arial" w:hAnsi="Arial"/>
          <w:color w:val="1A1A1A"/>
          <w:sz w:val="22"/>
          <w:szCs w:val="22"/>
        </w:rPr>
        <w:t xml:space="preserve">In the US, the primary legal risk is a claim that the app gave negligent advice — specifically that a user relied on a 'looks safe' result, was scammed, and suffered harm. The standard mitigation strategy is a clear disclaimer of liability combined with consistent 'do not guarantee' language in the product copy. Key FTC guidance on endorsements and product representations also applies: the app must not make accuracy claims it cannot substantiate.</w:t>
      </w:r>
    </w:p>
    <w:p>
      <w:pPr>
        <w:spacing w:before="60" w:after="80"/>
      </w:pPr>
      <w:r>
        <w:rPr>
          <w:rFonts w:ascii="Arial" w:cs="Arial" w:eastAsia="Arial" w:hAnsi="Arial"/>
          <w:color w:val="1A1A1A"/>
          <w:sz w:val="22"/>
          <w:szCs w:val="22"/>
        </w:rPr>
        <w:t xml:space="preserve">Recommended US disclaimer language (plain English, under 50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r>
              <w:rPr>
                <w:rFonts w:ascii="Arial" w:cs="Arial" w:eastAsia="Arial" w:hAnsi="Arial"/>
                <w:i/>
                <w:iCs/>
                <w:color w:val="1A1A1A"/>
                <w:sz w:val="22"/>
                <w:szCs w:val="22"/>
              </w:rPr>
              <w:t xml:space="preserve">"This app helps identify possible scam messages but cannot guarantee any result is correct. Always contact your bank or a trusted person directly if you are unsure. Never rely on this app as your only protection."</w:t>
            </w:r>
          </w:p>
        </w:tc>
      </w:tr>
    </w:tbl>
    <w:p>
      <w:pPr>
        <w:spacing w:before="80" w:after="0"/>
      </w:pPr>
      <w:r>
        <w:t xml:space="preserve"/>
      </w:r>
    </w:p>
    <w:p>
      <w:pPr>
        <w:spacing w:before="200" w:after="80"/>
      </w:pPr>
      <w:r>
        <w:rPr>
          <w:rFonts w:ascii="Arial" w:cs="Arial" w:eastAsia="Arial" w:hAnsi="Arial"/>
          <w:b/>
          <w:bCs/>
          <w:color w:val="1E3A5F"/>
          <w:sz w:val="23"/>
          <w:szCs w:val="23"/>
        </w:rPr>
        <w:t xml:space="preserve">India legal context</w:t>
      </w:r>
    </w:p>
    <w:p>
      <w:pPr>
        <w:spacing w:before="60" w:after="80"/>
      </w:pPr>
      <w:r>
        <w:rPr>
          <w:rFonts w:ascii="Arial" w:cs="Arial" w:eastAsia="Arial" w:hAnsi="Arial"/>
          <w:color w:val="1A1A1A"/>
          <w:sz w:val="22"/>
          <w:szCs w:val="22"/>
        </w:rPr>
        <w:t xml:space="preserve">In India, the IT Act 2000 and its 2008 amendments govern electronic service liability. The Information Technology (Intermediary Guidelines and Digital Media Ethics Code) Rules 2021 may apply if the app processes user content. Key requirements:</w:t>
      </w:r>
    </w:p>
    <w:p>
      <w:pPr>
        <w:pStyle w:val="ListParagraph"/>
        <w:numPr>
          <w:ilvl w:val="0"/>
          <w:numId w:val="2"/>
        </w:numPr>
        <w:spacing w:before="40" w:after="40"/>
      </w:pPr>
      <w:r>
        <w:rPr>
          <w:rFonts w:ascii="Arial" w:cs="Arial" w:eastAsia="Arial" w:hAnsi="Arial"/>
          <w:b w:val="false"/>
          <w:bCs w:val="false"/>
          <w:color w:val="1A1A1A"/>
          <w:sz w:val="22"/>
          <w:szCs w:val="22"/>
        </w:rPr>
        <w:t xml:space="preserve">A privacy policy in English (and optionally in regional languages) disclosing what data is collected, how it is used, and whether it leaves the device.</w:t>
      </w:r>
    </w:p>
    <w:p>
      <w:pPr>
        <w:pStyle w:val="ListParagraph"/>
        <w:numPr>
          <w:ilvl w:val="0"/>
          <w:numId w:val="2"/>
        </w:numPr>
        <w:spacing w:before="40" w:after="40"/>
      </w:pPr>
      <w:r>
        <w:rPr>
          <w:rFonts w:ascii="Arial" w:cs="Arial" w:eastAsia="Arial" w:hAnsi="Arial"/>
          <w:b w:val="false"/>
          <w:bCs w:val="false"/>
          <w:color w:val="1A1A1A"/>
          <w:sz w:val="22"/>
          <w:szCs w:val="22"/>
        </w:rPr>
        <w:t xml:space="preserve">If screenshots are processed locally and not stored, this should be stated explicitly as it is a significant trust differentiator.</w:t>
      </w:r>
    </w:p>
    <w:p>
      <w:pPr>
        <w:pStyle w:val="ListParagraph"/>
        <w:numPr>
          <w:ilvl w:val="0"/>
          <w:numId w:val="2"/>
        </w:numPr>
        <w:spacing w:before="40" w:after="40"/>
      </w:pPr>
      <w:r>
        <w:rPr>
          <w:rFonts w:ascii="Arial" w:cs="Arial" w:eastAsia="Arial" w:hAnsi="Arial"/>
          <w:b w:val="false"/>
          <w:bCs w:val="false"/>
          <w:color w:val="1A1A1A"/>
          <w:sz w:val="22"/>
          <w:szCs w:val="22"/>
        </w:rPr>
        <w:t xml:space="preserve">Contact information for a Grievance Officer is mandatory under the IT Rules for consumer-facing apps.</w:t>
      </w:r>
    </w:p>
    <w:p>
      <w:pPr>
        <w:pStyle w:val="ListParagraph"/>
        <w:numPr>
          <w:ilvl w:val="0"/>
          <w:numId w:val="2"/>
        </w:numPr>
        <w:spacing w:before="40" w:after="40"/>
      </w:pPr>
      <w:r>
        <w:rPr>
          <w:rFonts w:ascii="Arial" w:cs="Arial" w:eastAsia="Arial" w:hAnsi="Arial"/>
          <w:b w:val="false"/>
          <w:bCs w:val="false"/>
          <w:color w:val="1A1A1A"/>
          <w:sz w:val="22"/>
          <w:szCs w:val="22"/>
        </w:rPr>
        <w:t xml:space="preserve">DPDP Act 2023 (Digital Personal Data Protection Act) creates consent requirements for processing personal data. Even local OCR of a screenshot may constitute processing of personal data if the screenshot contains identifiable information.</w:t>
      </w:r>
    </w:p>
    <w:p>
      <w:pPr>
        <w:spacing w:before="80" w:after="0"/>
      </w:pPr>
      <w:r>
        <w:t xml:space="preserve"/>
      </w:r>
    </w:p>
    <w:p>
      <w:pPr>
        <w:spacing w:before="200" w:after="80"/>
      </w:pPr>
      <w:r>
        <w:rPr>
          <w:rFonts w:ascii="Arial" w:cs="Arial" w:eastAsia="Arial" w:hAnsi="Arial"/>
          <w:b/>
          <w:bCs/>
          <w:color w:val="1E3A5F"/>
          <w:sz w:val="23"/>
          <w:szCs w:val="23"/>
        </w:rPr>
        <w:t xml:space="preserve">What to do before launch</w:t>
      </w:r>
    </w:p>
    <w:p>
      <w:pPr>
        <w:pStyle w:val="ListParagraph"/>
        <w:numPr>
          <w:ilvl w:val="0"/>
          <w:numId w:val="3"/>
        </w:numPr>
        <w:spacing w:before="40" w:after="40"/>
      </w:pPr>
      <w:r>
        <w:rPr>
          <w:rFonts w:ascii="Arial" w:cs="Arial" w:eastAsia="Arial" w:hAnsi="Arial"/>
          <w:color w:val="1A1A1A"/>
          <w:sz w:val="22"/>
          <w:szCs w:val="22"/>
        </w:rPr>
        <w:t xml:space="preserve">Engage a lawyer in each market who specialises in consumer tech / data privacy. This is not optional.</w:t>
      </w:r>
    </w:p>
    <w:p>
      <w:pPr>
        <w:pStyle w:val="ListParagraph"/>
        <w:numPr>
          <w:ilvl w:val="0"/>
          <w:numId w:val="3"/>
        </w:numPr>
        <w:spacing w:before="40" w:after="40"/>
      </w:pPr>
      <w:r>
        <w:rPr>
          <w:rFonts w:ascii="Arial" w:cs="Arial" w:eastAsia="Arial" w:hAnsi="Arial"/>
          <w:color w:val="1A1A1A"/>
          <w:sz w:val="22"/>
          <w:szCs w:val="22"/>
        </w:rPr>
        <w:t xml:space="preserve">Define clearly in writing what data leaves the device and what does not. Local OCR + local classifier = no data leaves device = simpler disclosure.</w:t>
      </w:r>
    </w:p>
    <w:p>
      <w:pPr>
        <w:pStyle w:val="ListParagraph"/>
        <w:numPr>
          <w:ilvl w:val="0"/>
          <w:numId w:val="3"/>
        </w:numPr>
        <w:spacing w:before="40" w:after="40"/>
      </w:pPr>
      <w:r>
        <w:rPr>
          <w:rFonts w:ascii="Arial" w:cs="Arial" w:eastAsia="Arial" w:hAnsi="Arial"/>
          <w:color w:val="1A1A1A"/>
          <w:sz w:val="22"/>
          <w:szCs w:val="22"/>
        </w:rPr>
        <w:t xml:space="preserve">Write the disclaimer in plain language first; have a lawyer review the draft, not draft it from scratch — lawyer-drafted disclaimers are typically unreadable for seniors.</w:t>
      </w:r>
    </w:p>
    <w:p>
      <w:pPr>
        <w:pStyle w:val="ListParagraph"/>
        <w:numPr>
          <w:ilvl w:val="0"/>
          <w:numId w:val="3"/>
        </w:numPr>
        <w:spacing w:before="40" w:after="40"/>
      </w:pPr>
      <w:r>
        <w:rPr>
          <w:rFonts w:ascii="Arial" w:cs="Arial" w:eastAsia="Arial" w:hAnsi="Arial"/>
          <w:color w:val="1A1A1A"/>
          <w:sz w:val="22"/>
          <w:szCs w:val="22"/>
        </w:rPr>
        <w:t xml:space="preserve">Add a one-sentence accuracy caveat to every result screen: 'This is not a guarantee. When in doubt, call your bank.'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before="0" w:after="60"/>
            </w:pPr>
            <w:r>
              <w:rPr>
                <w:rFonts w:ascii="Arial" w:cs="Arial" w:eastAsia="Arial" w:hAnsi="Arial"/>
                <w:b/>
                <w:bCs/>
                <w:color w:val="7F4F24"/>
                <w:sz w:val="22"/>
                <w:szCs w:val="22"/>
              </w:rPr>
              <w:t xml:space="preserve">Confidence: Medium on legal specifics — not a substitute for professional legal advice.</w:t>
            </w:r>
          </w:p>
          <w:p>
            <w:pPr>
              <w:spacing w:before="0" w:after="0"/>
            </w:pPr>
            <w:r>
              <w:rPr>
                <w:rFonts w:ascii="Arial" w:cs="Arial" w:eastAsia="Arial" w:hAnsi="Arial"/>
                <w:color w:val="1A1A1A"/>
                <w:sz w:val="22"/>
                <w:szCs w:val="22"/>
              </w:rPr>
              <w:t xml:space="preserve">The disclaimer strategy above is grounded in standard consumer tech product design practice and publicly available regulatory guidance, but legal review in both markets is mandatory before any public launch. This document does not constitute legal advice.</w:t>
            </w:r>
          </w:p>
        </w:tc>
      </w:tr>
    </w:tbl>
    <w:p>
      <w:pPr>
        <w:spacing w:before="80" w:after="0"/>
      </w:pPr>
      <w:r>
        <w:t xml:space="preserve"/>
      </w:r>
    </w:p>
    <w:p>
      <w:r>
        <w:br w:type="page"/>
      </w:r>
    </w:p>
    <w:p>
      <w:pPr>
        <w:pStyle w:val="Heading1"/>
        <w:spacing w:before="480" w:after="200"/>
      </w:pPr>
      <w:r>
        <w:rPr>
          <w:rFonts w:ascii="Arial" w:cs="Arial" w:eastAsia="Arial" w:hAnsi="Arial"/>
          <w:b/>
          <w:bCs/>
          <w:color w:val="1E3A5F"/>
          <w:sz w:val="32"/>
          <w:szCs w:val="32"/>
        </w:rPr>
        <w:t xml:space="preserve">Summary: All 10 Questions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2600"/>
        <w:gridCol w:w="1600"/>
        <w:gridCol w:w="2860"/>
      </w:tblGrid>
      <w:tr>
        <w:trPr>
          <w:tblHeader/>
        </w:trPr>
        <w:tc>
          <w:tcPr>
            <w:tcW w:type="dxa" w:w="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Must Verify With</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label set for seniors?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Action-embedded labels. Test sets 1, 4, 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Senior copy test (n=24)</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OCR engine?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ML Kit v2. PaddleOCR as v2 fallback.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 (direction). Medium (India hard cases).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Real screenshot benchmark</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classifier?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Fine-tuned small encoder (primary) + LLM mid-size (fallback).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eval on benchmark gold text</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Max false-positive rate?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OTP: 3%. Bank: 5%. Delivery: 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Production sampling, month 1</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India vs US thresholds?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Ship unified. Diverge only if benchmark shows &gt;5pp gap.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Benchmark confusion matrix split by market</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Show category label to users?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Secondary detail only. Use plain-English category names.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Medium-High</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Senior copy test — does category help?</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Second-pass model?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GPT-4o-mini / Haiku / Gemini Flash class. Prompt quality &gt; model choice.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Consistency test + A/B eval on hard cases</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Guest-to-account conversion timing?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Immediately after first scam/unclear result. Never blocking.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Conversion rate data, month 1</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 OCR in v1?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Measure local OCR failure rate first. Cloud OCR = v2 premium.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OCR failure rate in production</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Legal disclaimer strategy?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Short plain-language disclaimer + full terms accessible. Legal review mandatory before launch.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 (needs legal review)</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Lawyer review in US and India</w:t>
            </w:r>
          </w:p>
        </w:tc>
      </w:tr>
    </w:tbl>
    <w:p>
      <w:pPr>
        <w:spacing w:before="80" w:after="0"/>
      </w:pPr>
      <w:r>
        <w:t xml:space="preserve"/>
      </w:r>
    </w:p>
    <w:p>
      <w:r>
        <w:br w:type="page"/>
      </w:r>
    </w:p>
    <w:p>
      <w:pPr>
        <w:spacing w:before="600" w:after="200"/>
        <w:jc w:val="center"/>
      </w:pPr>
      <w:r>
        <w:rPr>
          <w:rFonts w:ascii="Arial" w:cs="Arial" w:eastAsia="Arial" w:hAnsi="Arial"/>
          <w:i/>
          <w:iCs/>
          <w:color w:val="888888"/>
          <w:sz w:val="20"/>
          <w:szCs w:val="20"/>
        </w:rPr>
        <w:t xml:space="preserve">— End of Open Questions Document —</w:t>
      </w:r>
    </w:p>
    <w:p>
      <w:pPr>
        <w:jc w:val="center"/>
      </w:pPr>
      <w:r>
        <w:rPr>
          <w:rFonts w:ascii="Arial" w:cs="Arial" w:eastAsia="Arial" w:hAnsi="Arial"/>
          <w:color w:val="AAAAAA"/>
          <w:sz w:val="18"/>
          <w:szCs w:val="18"/>
        </w:rPr>
        <w:t xml:space="preserve">SafeCheck v1  |  Confidential  |  Not legal advice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00"/>
      <w:jc w:val="right"/>
    </w:pPr>
    <w:r>
      <w:rPr>
        <w:rFonts w:ascii="Arial" w:cs="Arial" w:eastAsia="Arial" w:hAnsi="Arial"/>
        <w:color w:val="88888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before="0" w:after="160"/>
    </w:pPr>
    <w:r>
      <w:rPr>
        <w:rFonts w:ascii="Arial" w:cs="Arial" w:eastAsia="Arial" w:hAnsi="Arial"/>
        <w:color w:val="888888"/>
        <w:sz w:val="18"/>
        <w:szCs w:val="18"/>
      </w:rPr>
      <w:t xml:space="preserve">SafeCheck — Open Questions: Best-Available Answers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20" w:after="1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2026-03-12T11:48:11.979Z</dcterms:created>
  <dcterms:modified xsi:type="dcterms:W3CDTF">2026-03-12T11:48:11.980Z</dcterms:modified>
</cp:coreProperties>
</file>

<file path=docProps/custom.xml><?xml version="1.0" encoding="utf-8"?>
<Properties xmlns="http://schemas.openxmlformats.org/officeDocument/2006/custom-properties" xmlns:vt="http://schemas.openxmlformats.org/officeDocument/2006/docPropsVTypes"/>
</file>