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1B3A5C"/>
          <w:sz w:val="56"/>
        </w:rPr>
        <w:t>Healthy Fleet Maintenance</w:t>
        <w:br/>
        <w:t>&amp; Tenant-Safe Node Lifecycle</w:t>
      </w:r>
    </w:p>
    <w:p>
      <w:pPr>
        <w:jc w:val="center"/>
      </w:pPr>
      <w:r>
        <w:rPr>
          <w:rFonts w:ascii="Calibri" w:hAnsi="Calibri"/>
          <w:color w:val="2C5F8A"/>
          <w:sz w:val="32"/>
        </w:rPr>
        <w:t>Architecture Design Document</w:t>
      </w:r>
    </w:p>
    <w:p>
      <w:pPr>
        <w:jc w:val="center"/>
      </w:pPr>
      <w:r>
        <w:rPr>
          <w:color w:val="3572A5"/>
          <w:sz w:val="18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Classification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Internal — Engineering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Version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2.0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Date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February 18, 2026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Author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Distinguished Engineer, AI Compute Platform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Status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Final Draft</w:t>
            </w:r>
          </w:p>
        </w:tc>
      </w:tr>
      <w:tr>
        <w:tc>
          <w:tcPr>
            <w:tcW w:type="dxa" w:w="2880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color w:val="1B3A5C"/>
                <w:sz w:val="18"/>
              </w:rPr>
              <w:t>Review Board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color w:val="333333"/>
                <w:sz w:val="18"/>
              </w:rPr>
              <w:t>Compute Platform · K8s · OE · Storage · Network · DC Infra</w:t>
            </w:r>
          </w:p>
        </w:tc>
      </w:tr>
    </w:tbl>
    <w:p>
      <w:r>
        <w:br w:type="page"/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Table of Contents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1.  Executive Summary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2.  Goals &amp; Objectives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3.  Scope Definition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4.  Architecture Design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5.  "Good Host" Certification Standard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6.  Infrastructure &amp; Operations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7.  End-to-End Test Plan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8.  Enterprise Promises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9.  Deployment, Observability &amp; Operations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10. Customer Impact</w:t>
      </w:r>
    </w:p>
    <w:p>
      <w:pPr>
        <w:spacing w:after="40"/>
      </w:pPr>
      <w:r>
        <w:rPr>
          <w:rFonts w:ascii="Calibri" w:hAnsi="Calibri"/>
          <w:color w:val="333333"/>
          <w:sz w:val="18"/>
        </w:rPr>
        <w:t>Appendix A: Glossary</w:t>
      </w:r>
    </w:p>
    <w:p>
      <w:r>
        <w:br w:type="page"/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1. Executive Summary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This document defines the Healthy Fleet Maintenance &amp; Tenant-Safe Node Lifecycle platform feature. It establishes a deterministic, automated state transition model for GPU compute nodes, ensuring every node serving a tenant meets a codified "good host" standard and that node transitions follow a secure lifecycle.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The feature addresses four foundational platform challenges: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Fleet Availability:</w:t>
      </w:r>
      <w:r>
        <w:rPr>
          <w:rFonts w:ascii="Calibri" w:hAnsi="Calibri"/>
          <w:color w:val="333333"/>
          <w:sz w:val="17"/>
        </w:rPr>
        <w:t xml:space="preserve"> Sustain 99.5% availability using an internal tenant certification model and rapid remediation workflows.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Lifecycle Automation:</w:t>
      </w:r>
      <w:r>
        <w:rPr>
          <w:rFonts w:ascii="Calibri" w:hAnsi="Calibri"/>
          <w:color w:val="333333"/>
          <w:sz w:val="17"/>
        </w:rPr>
        <w:t xml:space="preserve"> Automate lifecycle using NPD + controllers for host-level detection and enforcement via cordon/taint.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Node Certification:</w:t>
      </w:r>
      <w:r>
        <w:rPr>
          <w:rFonts w:ascii="Calibri" w:hAnsi="Calibri"/>
          <w:color w:val="333333"/>
          <w:sz w:val="17"/>
        </w:rPr>
        <w:t xml:space="preserve"> Codify certification below K8s: BCM burn-in, DCGM L4, NCCL collectives, HPL benchmarks, multi-node jobs.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Tenant Reassignment:</w:t>
      </w:r>
      <w:r>
        <w:rPr>
          <w:rFonts w:ascii="Calibri" w:hAnsi="Calibri"/>
          <w:color w:val="333333"/>
          <w:sz w:val="17"/>
        </w:rPr>
        <w:t xml:space="preserve"> Fixed state transition: Internal Tenant A → Certified → Production Tenant X → reimage + wipe + recertify.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Design is tenant-first: unhealthy nodes never serve production tenants. Incident 5337 (multi-node training failure) learnings are incorporated throughout. Self-heal is explicitly out of scope for the initial phase.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indmap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66666"/>
          <w:sz w:val="16"/>
        </w:rPr>
        <w:t>Figure 1: Healthy Fleet Maintenance — Four-Pillar Problem Space Overview</w:t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2. Goals &amp; Objectives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2.1 Primary Goals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G1 — Tenant Safety by Default:</w:t>
      </w:r>
      <w:r>
        <w:rPr>
          <w:rFonts w:ascii="Calibri" w:hAnsi="Calibri"/>
          <w:color w:val="333333"/>
          <w:sz w:val="17"/>
        </w:rPr>
        <w:t xml:space="preserve"> No scheduling on degraded, suspect, or uncertified nodes.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G2 — 99.5% Availability:</w:t>
      </w:r>
      <w:r>
        <w:rPr>
          <w:rFonts w:ascii="Calibri" w:hAnsi="Calibri"/>
          <w:color w:val="333333"/>
          <w:sz w:val="17"/>
        </w:rPr>
        <w:t xml:space="preserve"> Deterministic recovery via internal tenant certification model; defined exception handling.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G3 — Zero Ambiguity on "Good Host":</w:t>
      </w:r>
      <w:r>
        <w:rPr>
          <w:rFonts w:ascii="Calibri" w:hAnsi="Calibri"/>
          <w:color w:val="333333"/>
          <w:sz w:val="17"/>
        </w:rPr>
        <w:t xml:space="preserve"> Codified minimum host requirements: GPU + IB/RDMA + K8s readiness + tenant networking + NCCL/HPL benchmarks.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G4 — Two-Phase Execution:</w:t>
      </w:r>
      <w:r>
        <w:rPr>
          <w:rFonts w:ascii="Calibri" w:hAnsi="Calibri"/>
          <w:color w:val="333333"/>
          <w:sz w:val="17"/>
        </w:rPr>
        <w:t xml:space="preserve"> Phase 1: people-driven L1 squad with runbooks. Phase 2: automation-driven NPD + controller enforcement.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G5 — NPD as a Platform:</w:t>
      </w:r>
      <w:r>
        <w:rPr>
          <w:rFonts w:ascii="Calibri" w:hAnsi="Calibri"/>
          <w:color w:val="333333"/>
          <w:sz w:val="17"/>
        </w:rPr>
        <w:t xml:space="preserve"> Multi-team detector contribution under NPD with standardized event/condition/taint outputs.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2.2 Secondary Goals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Prevent recurrence of distributed training failures (Incident 5337): stricter IB thresholds, node-set correlation.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Reduce manual toil in tenant reassignment via single state transition pipeline.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Standardize evidence capture for hardware faults to accelerate vendor + RMA loops.</w:t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3. Scope Definition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Category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In Scope</w:t>
            </w:r>
          </w:p>
        </w:tc>
        <w:tc>
          <w:tcPr>
            <w:tcW w:type="dxa" w:w="38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Out of Scope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People / Process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 squad, runbooks, daily triage, escalation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application ops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Certification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burn-in, DCGM L4, NCCL, HPL, ECC, pass/fail tagging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workload tests beyond host gating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Lifecycle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State machine, cordon/taint, deterministic reassignment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Auto-reboot/reimage (future phase)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Self-Heal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Out of scope for Phase 1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Automated self-remediation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Node Boundary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readiness, kubelet, operators, taints/tolerations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scheduling policy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+ K8s Stack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op, network op, IB SR-IOV, Multus, DCGM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services, application SLO/SLA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/ Tenant Network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readiness, VLAN routing, node routing agent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Fabric architecture (Network team)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health, storage operator readiness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backend ops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 Workflow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capture, ticket routing, post-RMA recertification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Physical swap (DC Infra + vendor)</w:t>
            </w:r>
          </w:p>
        </w:tc>
      </w:tr>
    </w:tbl>
    <w:p>
      <w:pPr>
        <w:spacing w:after="40"/>
      </w:pP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4. Architecture Design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4.1 Layered Component 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9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Components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(B200), HCA/NIC (IB NDR 400G), NVMe, BMC, NVLink5/NVSwitch, CPU/Memory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 OS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Kernel, drivers, filesystem, time sync, container runtime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Stack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BCM, DCGM/DCGMI, gpu_burn, nccl-tests, nvbandwidth, HPL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Node Layer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operator, network operator, IB SR-IOV, Multus, NPD, CNI (Tigera/Calico)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Layer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probes, NVMe health monitoring, storage operator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 for VLAN/tenant routing; IB + VLAN dependencies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Controller Layer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compute-node-manager/controller for lifecycle and tenant assignments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4.2 NPD as a Platform (Multi-Team Contribution Model)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NPD is the common substrate for node health detection. Five teams contribute domain-specific detectors: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pd_plat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66666"/>
          <w:sz w:val="16"/>
        </w:rPr>
        <w:t>Figure 2: NPD as a Platform — Multi-Team Contribution Model</w:t>
      </w:r>
    </w:p>
    <w:p>
      <w:pPr>
        <w:pStyle w:val="Heading3"/>
        <w:spacing w:before="120" w:after="60"/>
      </w:pPr>
      <w:r>
        <w:rPr>
          <w:rFonts w:ascii="Calibri" w:hAnsi="Calibri"/>
          <w:color w:val="1B3A5C"/>
        </w:rPr>
        <w:t>Team Responsibilities &amp; Asks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Team</w:t>
            </w:r>
          </w:p>
        </w:tc>
        <w:tc>
          <w:tcPr>
            <w:tcW w:type="dxa" w:w="403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Owns / Contributes</w:t>
            </w:r>
          </w:p>
        </w:tc>
        <w:tc>
          <w:tcPr>
            <w:tcW w:type="dxa" w:w="41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Ask from Team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Compute Platform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Host-side IB &amp; tenant VLAN; GPU/Network Operators; IB SR-IOV/VFs; DCGM; GPU health &amp; XID detection; host-level checks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Owns NPD framework, detector development, certification pipeline, state machine controller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Kubernetes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Kubelet/runtime; node readiness; CNI (Tigera/Calico); nodefs/imagefs pressure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CNI health probes, node readiness signal fidelity, taint/toleration policy enforcement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 probes; VAST probes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 health probe integration into NPD, read/write latency signals, capacity alerts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OE</w:t>
            </w:r>
          </w:p>
        </w:tc>
        <w:tc>
          <w:tcPr>
            <w:tcW w:type="dxa" w:w="403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integration support; logs, events, metrics across all AZs</w:t>
            </w:r>
          </w:p>
        </w:tc>
        <w:tc>
          <w:tcPr>
            <w:tcW w:type="dxa" w:w="41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Log/metric pipeline reliability, NPD deployment across AZs, monitoring infra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Network / App Network</w:t>
            </w:r>
          </w:p>
        </w:tc>
        <w:tc>
          <w:tcPr>
            <w:tcW w:type="dxa" w:w="403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probes for inference workloads</w:t>
            </w:r>
          </w:p>
        </w:tc>
        <w:tc>
          <w:tcPr>
            <w:tcW w:type="dxa" w:w="41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Ingress health signals, endpoint readiness probes, latency thresholds for inference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4.3 Detection → Enforcement → Recovery Workflow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Core workflow: signal detection → quarantine → repair/RMA → recertify. Self-heal is explicitly out of scope for Phase 1.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orkflow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66666"/>
          <w:sz w:val="16"/>
        </w:rPr>
        <w:t>Figure 3: Detection → Enforcement → Recovery Workflow (Self-Heal: Out of Scope)</w:t>
      </w:r>
    </w:p>
    <w:p>
      <w:r>
        <w:br w:type="page"/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4.4 Node Lifecycle State Machine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The lifecycle has 8 states with deterministic transitions. States include explicit RMA, BURN_IN, and CERTIFIED phases aligned with the GPU Node Certification SOP (SOP-GPU-CERT-001).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tate_mach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66666"/>
          <w:sz w:val="16"/>
        </w:rPr>
        <w:t>Figure 4: Node Lifecycle State Machine (8 States)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Entry</w:t>
            </w:r>
          </w:p>
        </w:tc>
        <w:tc>
          <w:tcPr>
            <w:tcW w:type="dxa" w:w="273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Exit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BUFFER_HEALTHY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Healthy, certified, available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Initial provision OR certified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attach OR blocking signal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TENANT_ASSIGNED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Actively serving tenant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Attach label from buffer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Detach+recertify OR blocking signal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QUARANTINED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Blocked; removed from scheduling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Blocking signal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→ REPAIR or → RMA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REPAIR_IN_PROGRESS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Software/config fix underway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Triage: software/config issue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Fix complete → BURN_IN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replacement in progress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fault confirmed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Component replaced → BURN_IN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BURN_IN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 (6–24h, gpu_burn, stress)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Post-repair or post-RMA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Pass → RECERTIFY; Fail → QUARANTINED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RECERTIFY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 L4 + NCCL + HPL + multi-node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Burn-in pass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Pass → CERTIFIED; Fail → QUARANTINED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CERTIFIED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tests passed; fleet-ready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Recertification pass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→ BUFFER_HEALTHY (admit to fleet)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4.5 Internal Tenant Certification &amp; Fleet Lifecycle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Key design: no spare buffer nodes. Instead, nodes are assigned to "Internal Tenant A" for continuous certification testing. This model uses the same lifecycle for all node transitions. Layer-by-layer certification validates bus bandwidth and algorithm bandwidth scaling, including multi-node NCCL jobs per Incident 5337 retrospective.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uffer_strate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Calibri" w:hAnsi="Calibri"/>
          <w:i/>
          <w:color w:val="666666"/>
          <w:sz w:val="16"/>
        </w:rPr>
        <w:t>Figure 5: Internal Tenant Certification &amp; Fleet Lifecycle Model</w:t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5. "Good Host" Certification Standard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A node must pass ALL layers before being tenant-eligible. Aligned with SOP-GPU-CERT-001 v1.1 (NVIDIA B200).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5.1 Certification Layers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187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Tool</w:t>
            </w:r>
          </w:p>
        </w:tc>
        <w:tc>
          <w:tcPr>
            <w:tcW w:type="dxa" w:w="273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B200 Pass Criteria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L1: Hardware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Pre-flight (8× B200, ECC, FW, IB ports)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nvidia-smi, dcgmi, ibstat, nvsm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checks green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L2: Burn-In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 stress 6–24h, 100% util, zero errors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gpu_burn + BCM burn-in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0 XID, 0 DBE, temp ≤70°C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L3: DCGM L4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plugins: HW, SM stress, memtest, EUD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 plugins PASS (~90 min)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all_reduce, all_gather, reduce_scatter, broadcast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nccl-tests (8 GPUs)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BusBW ≥ 1530 GB/s (85% NVLink5)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L4: NCCL Multi-Node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Cross-node all_reduce via IB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mpirun + nccl-tests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 85% per-port IB line rate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L5: HPL/HPL-MxP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Peak FP64 and mixed-precision FLOPS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 (NGC container)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≥ 70% theoretical peak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L6: NVLink/Network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 status, IB BW, GPUDirect RDMA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nvbandwidth, ibtools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D2D ≥90% of 1.8 TB/s</w:t>
            </w:r>
          </w:p>
        </w:tc>
      </w:tr>
      <w:tr>
        <w:tc>
          <w:tcPr>
            <w:tcW w:type="dxa" w:w="187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L7: Storage/System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 SMART, fio, memtester, PSU</w:t>
            </w:r>
          </w:p>
        </w:tc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nvme, fio, stress-ng, ipmitool</w:t>
            </w:r>
          </w:p>
        </w:tc>
        <w:tc>
          <w:tcPr>
            <w:tcW w:type="dxa" w:w="273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Zero errors, spare ≥80%</w:t>
            </w:r>
          </w:p>
        </w:tc>
      </w:tr>
      <w:tr>
        <w:tc>
          <w:tcPr>
            <w:tcW w:type="dxa" w:w="187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L8: K8s Job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Dummy K8s job: pod scheduling, GPU alloc</w:t>
            </w:r>
          </w:p>
        </w:tc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kubectl + sample workload</w:t>
            </w:r>
          </w:p>
        </w:tc>
        <w:tc>
          <w:tcPr>
            <w:tcW w:type="dxa" w:w="273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Job completes, GPU visible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5.2 Day Two Continuous Monitoring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Severity</w:t>
            </w:r>
          </w:p>
        </w:tc>
        <w:tc>
          <w:tcPr>
            <w:tcW w:type="dxa" w:w="43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16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P1 — Immediate Quarantine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DBE, row remap fail, XID 48/63/64/79/94/95, GPU off bus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Cordon + taint, alert, ticket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P2 — Investigate 4h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SBE &gt; 0, retired pages nearing limit, NVLink CRC</w:t>
            </w:r>
          </w:p>
        </w:tc>
        <w:tc>
          <w:tcPr>
            <w:tcW w:type="dxa" w:w="316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Investigate, trend analysis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P3 — Weekly Review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PCIe replay, NVMe spare &lt; 80%, IB error counters</w:t>
            </w:r>
          </w:p>
        </w:tc>
        <w:tc>
          <w:tcPr>
            <w:tcW w:type="dxa" w:w="316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Track; weekly triage review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5.3 Periodic Re-Validation Schedule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43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Weekly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1 (quick health)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~2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Monthly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3 (medium diag)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~15 min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Quarterly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dcgmi diag -r 4 + NCCL collectives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~100 min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Annually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burn-in + HPL + 24h soak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~8 hrs</w:t>
            </w:r>
          </w:p>
        </w:tc>
      </w:tr>
    </w:tbl>
    <w:p>
      <w:pPr>
        <w:spacing w:after="40"/>
      </w:pP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6. Infrastructure &amp; Operations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6.1 L1 Squad &amp; Operating Targets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592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Issue Category</w:t>
            </w:r>
          </w:p>
        </w:tc>
        <w:tc>
          <w:tcPr>
            <w:tcW w:type="dxa" w:w="3888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Target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SLA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Non-hardware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 node to fleet ≤24h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 squad accountability</w:t>
            </w:r>
          </w:p>
        </w:tc>
      </w:tr>
      <w:tr>
        <w:tc>
          <w:tcPr>
            <w:tcW w:type="dxa" w:w="2592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Hardware / RMA</w:t>
            </w:r>
          </w:p>
        </w:tc>
        <w:tc>
          <w:tcPr>
            <w:tcW w:type="dxa" w:w="3888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Evidence capture + ticket same day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 Infra SLA for physical swap</w:t>
            </w:r>
          </w:p>
        </w:tc>
      </w:tr>
      <w:tr>
        <w:tc>
          <w:tcPr>
            <w:tcW w:type="dxa" w:w="2592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Critical (buffer impact)</w:t>
            </w:r>
          </w:p>
        </w:tc>
        <w:tc>
          <w:tcPr>
            <w:tcW w:type="dxa" w:w="3888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Immediate escalation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Management notification, exception mode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6.2 RMA Lifecycle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8"/>
        </w:rPr>
        <w:t>Fault (BCM Alert) → Quarantine → Triage &amp; collect diagnostics → RMA submission → Component replaced → BURN_IN (12h minimum) → RECERTIFY (DCGM L4 + NCCL + HPL) → 24h soak → CERTIFIED → Fleet re-admission.</w:t>
      </w:r>
    </w:p>
    <w:p>
      <w:pPr>
        <w:spacing w:after="60" w:before="20"/>
      </w:pPr>
      <w:r>
        <w:rPr>
          <w:rFonts w:ascii="Calibri" w:hAnsi="Calibri"/>
          <w:b w:val="0"/>
          <w:i w:val="0"/>
          <w:color w:val="333333"/>
          <w:sz w:val="16"/>
        </w:rPr>
        <w:t>Required RMA data: nvidia-bug-report.sh, dcgmi diag -r 4, nvsm show health, ipmitool sel, dmesg, fieldiag.log, GPU serial/part#, nvfwupd show_version.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6.3 Incident 5337 Integration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Stricter IB readiness thresholds for multi-node distributed training workloads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Correlation logic across node sets: job failure → suspect node identification → quarantine repeat offenders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Certification includes multi-node smoke checks: NCCL cross-node + sample distributed job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Bus bandwidth AND algorithm bandwidth must scale; validated via nccl-tests and HPL multi-node</w:t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7. End-to-End Test Plan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Test Layer</w:t>
            </w:r>
          </w:p>
        </w:tc>
        <w:tc>
          <w:tcPr>
            <w:tcW w:type="dxa" w:w="43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What We Validate</w:t>
            </w:r>
          </w:p>
        </w:tc>
        <w:tc>
          <w:tcPr>
            <w:tcW w:type="dxa" w:w="36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Where It Runs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Pre-Tenant Cert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 burn-in, DCGM L4, NCCL, HPL, NVLink, IB, NVMe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Readiness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Ready, kubelet/runtime stable, FS not RO, disk OK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+ pre-attach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/ Multi-Node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up, stable, counters OK; SR-IOV VFs; cross-node NCCL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 + pre-attach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Networking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routing agent, VLAN/tenant routing verified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Pre-attach + periodic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Storage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Weka/VAST probes healthy, NVMe SMART OK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K8s Dummy Job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Pod scheduling, GPU allocation, job completion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Enforcement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Taint/cordon applied on failure; scheduling prevented</w:t>
            </w:r>
          </w:p>
        </w:tc>
        <w:tc>
          <w:tcPr>
            <w:tcW w:type="dxa" w:w="36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Continuous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Recovery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Repair → burn-in → recertify → fleet re-admission</w:t>
            </w:r>
          </w:p>
        </w:tc>
        <w:tc>
          <w:tcPr>
            <w:tcW w:type="dxa" w:w="36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Post-fix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Acceptance Criteria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AC-1:</w:t>
      </w:r>
      <w:r>
        <w:rPr>
          <w:rFonts w:ascii="Calibri" w:hAnsi="Calibri"/>
          <w:color w:val="333333"/>
          <w:sz w:val="17"/>
        </w:rPr>
        <w:t xml:space="preserve"> Node cannot enter TENANT_ASSIGNED unless all certification layers pass.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AC-2:</w:t>
      </w:r>
      <w:r>
        <w:rPr>
          <w:rFonts w:ascii="Calibri" w:hAnsi="Calibri"/>
          <w:color w:val="333333"/>
          <w:sz w:val="17"/>
        </w:rPr>
        <w:t xml:space="preserve"> Blocking signal → quarantine (cordon+taint) within defined detection-to-quarantine SLO.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AC-3:</w:t>
      </w:r>
      <w:r>
        <w:rPr>
          <w:rFonts w:ascii="Calibri" w:hAnsi="Calibri"/>
          <w:color w:val="333333"/>
          <w:sz w:val="17"/>
        </w:rPr>
        <w:t xml:space="preserve"> No return-to-fleet without full recertification (burn-in + DCGM L4 + NCCL + HPL).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AC-4:</w:t>
      </w:r>
      <w:r>
        <w:rPr>
          <w:rFonts w:ascii="Calibri" w:hAnsi="Calibri"/>
          <w:color w:val="333333"/>
          <w:sz w:val="17"/>
        </w:rPr>
        <w:t xml:space="preserve"> Tenant reassignment always follows: reimage → disk wipe → recertification → network reconfig.</w:t>
      </w:r>
    </w:p>
    <w:p>
      <w:pPr>
        <w:pStyle w:val="ListBullet"/>
        <w:spacing w:after="20" w:before="20"/>
      </w:pPr>
      <w:r>
        <w:rPr>
          <w:rFonts w:ascii="Calibri" w:hAnsi="Calibri"/>
          <w:b/>
          <w:color w:val="333333"/>
          <w:sz w:val="17"/>
        </w:rPr>
        <w:t>AC-5:</w:t>
      </w:r>
      <w:r>
        <w:rPr>
          <w:rFonts w:ascii="Calibri" w:hAnsi="Calibri"/>
          <w:color w:val="333333"/>
          <w:sz w:val="17"/>
        </w:rPr>
        <w:t xml:space="preserve"> Multi-node NCCL bus BW ≥ 1530 GB/s and algo BW must scale for distributed workload eligibility.</w:t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8. Enterprise Promises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576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Promise</w:t>
            </w:r>
          </w:p>
        </w:tc>
        <w:tc>
          <w:tcPr>
            <w:tcW w:type="dxa" w:w="6624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Delivered By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 Safety by Default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+ taint enforcement; unhealthy nodes never serve tenants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Predictable Availability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certification + rapid repair/recertification pipeline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Deterministic Lifecycle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Fixed state machine: all transitions follow secure, clean path</w:t>
            </w:r>
          </w:p>
        </w:tc>
      </w:tr>
      <w:tr>
        <w:tc>
          <w:tcPr>
            <w:tcW w:type="dxa" w:w="576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Operational Maturity</w:t>
            </w:r>
          </w:p>
        </w:tc>
        <w:tc>
          <w:tcPr>
            <w:tcW w:type="dxa" w:w="6624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L1 squad + runbooks (Phase 1) → automation-first (Phase 2)</w:t>
            </w:r>
          </w:p>
        </w:tc>
      </w:tr>
      <w:tr>
        <w:tc>
          <w:tcPr>
            <w:tcW w:type="dxa" w:w="576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5</w:t>
            </w:r>
          </w:p>
        </w:tc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Platform Extensibility</w:t>
            </w:r>
          </w:p>
        </w:tc>
        <w:tc>
          <w:tcPr>
            <w:tcW w:type="dxa" w:w="6624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 as shared platform; 5 teams contribute detectors independently</w:t>
            </w:r>
          </w:p>
        </w:tc>
      </w:tr>
    </w:tbl>
    <w:p>
      <w:pPr>
        <w:spacing w:after="40"/>
      </w:pP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9. Deployment, Observability &amp; Operations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9.1 Staged Rollout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3600"/>
        <w:gridCol w:w="3600"/>
        <w:gridCol w:w="3600"/>
      </w:tblGrid>
      <w:tr>
        <w:tc>
          <w:tcPr>
            <w:tcW w:type="dxa" w:w="7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504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Action</w:t>
            </w:r>
          </w:p>
        </w:tc>
        <w:tc>
          <w:tcPr>
            <w:tcW w:type="dxa" w:w="43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1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Deploy NPD baseline + dashboards (observe only)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 enforcement — validation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2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enforcement in Internal Tenant A only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Limited blast radius</w:t>
            </w:r>
          </w:p>
        </w:tc>
      </w:tr>
      <w:tr>
        <w:tc>
          <w:tcPr>
            <w:tcW w:type="dxa" w:w="7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3</w:t>
            </w:r>
          </w:p>
        </w:tc>
        <w:tc>
          <w:tcPr>
            <w:tcW w:type="dxa" w:w="504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Enforce gating for production tenant attachment</w:t>
            </w:r>
          </w:p>
        </w:tc>
        <w:tc>
          <w:tcPr>
            <w:tcW w:type="dxa" w:w="43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Tenant-impacting; rollback plan</w:t>
            </w:r>
          </w:p>
        </w:tc>
      </w:tr>
      <w:tr>
        <w:tc>
          <w:tcPr>
            <w:tcW w:type="dxa" w:w="7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4</w:t>
            </w:r>
          </w:p>
        </w:tc>
        <w:tc>
          <w:tcPr>
            <w:tcW w:type="dxa" w:w="504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Enable automated reassignment workflow</w:t>
            </w:r>
          </w:p>
        </w:tc>
        <w:tc>
          <w:tcPr>
            <w:tcW w:type="dxa" w:w="43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Full automation; max monitoring</w:t>
            </w:r>
          </w:p>
        </w:tc>
      </w:tr>
    </w:tbl>
    <w:p>
      <w:pPr>
        <w:spacing w:after="40"/>
      </w:pP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9.2 Dashboards &amp; Alerts</w:t>
      </w:r>
    </w:p>
    <w:p>
      <w:pPr>
        <w:spacing w:after="60" w:before="20"/>
      </w:pPr>
      <w:r>
        <w:rPr>
          <w:rFonts w:ascii="Calibri" w:hAnsi="Calibri"/>
          <w:b/>
          <w:i w:val="0"/>
          <w:color w:val="333333"/>
          <w:sz w:val="17"/>
        </w:rPr>
        <w:t>Dashboards: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Fleet by state: Internal Tenant A, tenant assigned, quarantined, burn-in, recertifying, certified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Detection-to-quarantine latency (P50/P95/P99) · Quarantine-to-recovery latency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Certification pass/fail rate · Repeat offender tracking · NCCL/HPL benchmark trends</w:t>
      </w:r>
    </w:p>
    <w:p>
      <w:pPr>
        <w:spacing w:after="60" w:before="20"/>
      </w:pPr>
      <w:r>
        <w:rPr>
          <w:rFonts w:ascii="Calibri" w:hAnsi="Calibri"/>
          <w:b/>
          <w:i w:val="0"/>
          <w:color w:val="333333"/>
          <w:sz w:val="17"/>
        </w:rPr>
        <w:t>Alerts: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Blocking taint/cordon applied · Certification failures · Multi-node correlation spikes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Consent toleration granted/used/expired · Buffer below threshold (exception mode)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9.3 L1 Daily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88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720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Content</w:t>
            </w:r>
          </w:p>
        </w:tc>
      </w:tr>
      <w:tr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Unhealthy Nodes</w:t>
            </w:r>
          </w:p>
        </w:tc>
        <w:tc>
          <w:tcPr>
            <w:tcW w:type="dxa" w:w="72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Hostname, fault category, owner, ETA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Returned to Fleet</w:t>
            </w:r>
          </w:p>
        </w:tc>
        <w:tc>
          <w:tcPr>
            <w:tcW w:type="dxa" w:w="72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Nodes returned in last 24h, cause summary</w:t>
            </w:r>
          </w:p>
        </w:tc>
      </w:tr>
      <w:tr>
        <w:tc>
          <w:tcPr>
            <w:tcW w:type="dxa" w:w="288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Escalated (RMA)</w:t>
            </w:r>
          </w:p>
        </w:tc>
        <w:tc>
          <w:tcPr>
            <w:tcW w:type="dxa" w:w="720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Nodes escalated, evidence status, vendor ticket #</w:t>
            </w:r>
          </w:p>
        </w:tc>
      </w:tr>
      <w:tr>
        <w:tc>
          <w:tcPr>
            <w:tcW w:type="dxa" w:w="288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Fleet Health</w:t>
            </w:r>
          </w:p>
        </w:tc>
        <w:tc>
          <w:tcPr>
            <w:tcW w:type="dxa" w:w="720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Internal Tenant A utilization, certification pipeline throughput</w:t>
            </w:r>
          </w:p>
        </w:tc>
      </w:tr>
    </w:tbl>
    <w:p>
      <w:pPr>
        <w:spacing w:after="40"/>
      </w:pP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10. Customer Impact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Positive Impact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Fewer tenant-visible failures from bad hosts; higher multi-node job success rate (5337 mitigation)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Faster quarantine reduces repeat failures; cleaner tenant isolation via reimage + disk wipe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Layer-by-layer certification ensures bus BW and algo BW scale before production exposure</w:t>
      </w:r>
    </w:p>
    <w:p>
      <w:pPr>
        <w:pStyle w:val="Heading2"/>
        <w:spacing w:before="120" w:after="60"/>
      </w:pPr>
      <w:r>
        <w:rPr>
          <w:rFonts w:ascii="Calibri" w:hAnsi="Calibri"/>
          <w:color w:val="1B3A5C"/>
        </w:rPr>
        <w:t>Tradeoffs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Stricter gating may temporarily reduce capacity; exception mode is audited and time-bounded</w:t>
      </w:r>
    </w:p>
    <w:p>
      <w:pPr>
        <w:pStyle w:val="ListBullet"/>
        <w:spacing w:after="20" w:before="20"/>
      </w:pPr>
      <w:r>
        <w:rPr>
          <w:rFonts w:ascii="Calibri" w:hAnsi="Calibri"/>
          <w:color w:val="333333"/>
          <w:sz w:val="17"/>
        </w:rPr>
        <w:t>Conservative remediation (quarantine-first, no self-heal) increases reliance on repair velocity in Phase 1</w:t>
      </w:r>
    </w:p>
    <w:p>
      <w:r>
        <w:br w:type="page"/>
      </w:r>
    </w:p>
    <w:p>
      <w:pPr>
        <w:pStyle w:val="Heading1"/>
        <w:spacing w:before="120" w:after="60"/>
      </w:pPr>
      <w:r>
        <w:rPr>
          <w:rFonts w:ascii="Calibri" w:hAnsi="Calibri"/>
          <w:color w:val="1B3A5C"/>
        </w:rPr>
        <w:t>Appendix A: Glossary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start w:val="single" w:sz="6" w:space="0" w:color="000000"/>
          <w:bottom w:val="single" w:sz="6" w:space="0" w:color="000000"/>
          <w:end w:val="single" w:sz="6" w:space="0" w:color="000000"/>
          <w:insideH w:val="single" w:sz="4" w:space="0" w:color="000000"/>
          <w:insideV w:val="single" w:sz="4" w:space="0" w:color="000000"/>
        </w:tblBorders>
      </w:tblPr>
      <w:tblGrid>
        <w:gridCol w:w="5400"/>
        <w:gridCol w:w="5400"/>
      </w:tblGrid>
      <w:tr>
        <w:tc>
          <w:tcPr>
            <w:tcW w:type="dxa" w:w="216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7920"/>
            <w:shd w:fill="1B3A5C" w:val="clear"/>
          </w:tcPr>
          <w:p>
            <w:pPr>
              <w:spacing w:after="20" w:before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</w:r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BCM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Base Command Manager — cluster management and provisioning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DCGM/DCGMI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Data Center GPU Manager / Interface — GPU diagnostics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ECC/DBE/SBE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Error Correcting Code / Double-Bit Error / Single-Bit Error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HPL/HPL-MxP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High Performance Linpack — FP64 and mixed-precision benchmark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IB / NDR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InfiniBand / Next Data Rate (400 Gb/s) — HPC networking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NCCL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Collective Communications Library — GPU collective operations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NPD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Node Problem Detector — K8s node health daemon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NVLink5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interconnect (1.8 TB/s per GPU on B200)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RMA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Return Merchandise Authorization — hardware replacement</w:t>
            </w:r>
          </w:p>
        </w:tc>
      </w:tr>
      <w:tr>
        <w:tc>
          <w:tcPr>
            <w:tcW w:type="dxa" w:w="216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SR-IOV / VF</w:t>
            </w:r>
          </w:p>
        </w:tc>
        <w:tc>
          <w:tcPr>
            <w:tcW w:type="dxa" w:w="7920"/>
            <w:shd w:fill="FFFFFF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Single Root I/O Virtualization / Virtual Function</w:t>
            </w:r>
          </w:p>
        </w:tc>
      </w:tr>
      <w:tr>
        <w:tc>
          <w:tcPr>
            <w:tcW w:type="dxa" w:w="216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XID</w:t>
            </w:r>
          </w:p>
        </w:tc>
        <w:tc>
          <w:tcPr>
            <w:tcW w:type="dxa" w:w="7920"/>
            <w:shd w:fill="E8F0F8" w:val="clear"/>
          </w:tcPr>
          <w:p>
            <w:pPr>
              <w:spacing w:after="20" w:before="20"/>
            </w:pPr>
            <w:r>
              <w:rPr>
                <w:rFonts w:ascii="Calibri" w:hAnsi="Calibri"/>
                <w:color w:val="333333"/>
                <w:sz w:val="14"/>
              </w:rPr>
            </w:r>
            <w:r>
              <w:rPr>
                <w:rFonts w:ascii="Calibri" w:hAnsi="Calibri"/>
                <w:color w:val="333333"/>
                <w:sz w:val="14"/>
              </w:rPr>
              <w:t>NVIDIA GPU error identifier code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20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