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B3A5C"/>
          <w:sz w:val="64"/>
        </w:rPr>
        <w:t>Healthy Fleet Maintenance</w:t>
        <w:br/>
        <w:t>&amp; Tenant-Safe Node Lifecycle</w:t>
      </w:r>
    </w:p>
    <w:p>
      <w:pPr>
        <w:jc w:val="center"/>
      </w:pPr>
      <w:r>
        <w:rPr>
          <w:rFonts w:ascii="Calibri" w:hAnsi="Calibri"/>
          <w:color w:val="2C5F8A"/>
          <w:sz w:val="36"/>
        </w:rPr>
        <w:t>Architecture Design Document</w:t>
      </w:r>
    </w:p>
    <w:p>
      <w:pPr>
        <w:jc w:val="center"/>
      </w:pPr>
      <w:r>
        <w:rPr>
          <w:color w:val="3572A5"/>
          <w:sz w:val="20"/>
        </w:rPr>
        <w:t>━━━━━━━━━━━━━━━━━━━━━━━━━━━━━━━━━━━━━━━━━━━━━━━━━━━━━━━━━━━━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4824"/>
        <w:gridCol w:w="4824"/>
      </w:tblGrid>
      <w:tr>
        <w:tc>
          <w:tcPr>
            <w:tcW w:type="dxa" w:w="360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20"/>
              </w:rPr>
              <w:t>Document Classification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Internal — Engineering</w:t>
            </w:r>
          </w:p>
        </w:tc>
      </w:tr>
      <w:tr>
        <w:tc>
          <w:tcPr>
            <w:tcW w:type="dxa" w:w="360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20"/>
              </w:rPr>
              <w:t>Version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1.0</w:t>
            </w:r>
          </w:p>
        </w:tc>
      </w:tr>
      <w:tr>
        <w:tc>
          <w:tcPr>
            <w:tcW w:type="dxa" w:w="360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20"/>
              </w:rPr>
              <w:t>Date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February 18, 2026</w:t>
            </w:r>
          </w:p>
        </w:tc>
      </w:tr>
      <w:tr>
        <w:tc>
          <w:tcPr>
            <w:tcW w:type="dxa" w:w="360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20"/>
              </w:rPr>
              <w:t>Author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Distinguished Engineer, AI Compute Platform</w:t>
            </w:r>
          </w:p>
        </w:tc>
      </w:tr>
      <w:tr>
        <w:tc>
          <w:tcPr>
            <w:tcW w:type="dxa" w:w="360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20"/>
              </w:rPr>
              <w:t>Status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Final Draft</w:t>
            </w:r>
          </w:p>
        </w:tc>
      </w:tr>
      <w:tr>
        <w:tc>
          <w:tcPr>
            <w:tcW w:type="dxa" w:w="360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20"/>
              </w:rPr>
              <w:t>Review Board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20"/>
              </w:rPr>
              <w:t>Compute Platform, K8s, OE, Network, DC Infra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Table of Contents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1.  Executive Summary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2.  Feature Description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3.  Goals &amp; Objectives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4.  Scope Definition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5.  Architecture Design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6.  Infrastructure Callouts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7.  End-to-End Test Plan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8.  Enterprise Promises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9.  Deployment, Observability &amp; Operations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10. Customer Impact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Appendix A: Diagrams Index</w:t>
      </w:r>
    </w:p>
    <w:p>
      <w:pPr>
        <w:spacing w:after="80"/>
      </w:pPr>
      <w:r>
        <w:rPr>
          <w:rFonts w:ascii="Calibri" w:hAnsi="Calibri"/>
          <w:color w:val="333333"/>
          <w:sz w:val="22"/>
        </w:rPr>
        <w:t>Appendix B: Glossary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1. Executive Summary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This architecture design document defines the Healthy Fleet Maintenance &amp; Tenant-Safe Node Lifecycle platform feature. It establishes a deterministic, automated state transition model for GPU compute nodes, ensuring that every node serving a tenant workload meets a codified "good host" standard and that node movement between tenants follows a secure, clean lifecycle.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feature addresses four foundational platform challenges: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Fleet Availability:</w:t>
      </w:r>
      <w:r>
        <w:rPr>
          <w:rFonts w:ascii="Calibri" w:hAnsi="Calibri"/>
          <w:color w:val="333333"/>
          <w:sz w:val="20"/>
        </w:rPr>
        <w:t xml:space="preserve"> Sustaining 99.5% fleet availability through a buffer pool model with rapid remediation and a defined exception path when buffer capacity is constrained.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Lifecycle Automation:</w:t>
      </w:r>
      <w:r>
        <w:rPr>
          <w:rFonts w:ascii="Calibri" w:hAnsi="Calibri"/>
          <w:color w:val="333333"/>
          <w:sz w:val="20"/>
        </w:rPr>
        <w:t xml:space="preserve"> Automating node lifecycle management using Node Problem Detector (NPD) and custom controllers to detect host-level degradation and enforce tenant safety through cordon/taint semantics.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Node Certification:</w:t>
      </w:r>
      <w:r>
        <w:rPr>
          <w:rFonts w:ascii="Calibri" w:hAnsi="Calibri"/>
          <w:color w:val="333333"/>
          <w:sz w:val="20"/>
        </w:rPr>
        <w:t xml:space="preserve"> Codifying a certification pipeline below the Kubernetes layer using BCM burn-in and DCGM/DCGMI diagnostics as the standard SOP, enforced before tenant attachment and after every repair or RMA cycle.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Tenant Reassignment:</w:t>
      </w:r>
      <w:r>
        <w:rPr>
          <w:rFonts w:ascii="Calibri" w:hAnsi="Calibri"/>
          <w:color w:val="333333"/>
          <w:sz w:val="20"/>
        </w:rPr>
        <w:t xml:space="preserve"> Enforcing a fixed state transition for tenant reassignment: Buffer(healthy) → Tenant X → Buffer(healthy) → Tenant Y, always including re-image, disk wipe, recertification, and host network reconfiguration.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design philosophy is tenant-first: unhealthy nodes are prevented from serving tenants through consistent detection and enforcement mechanisms. The operational model starts with a dedicated L1 support squad using runbooks and daily triage (Phase 1), transitioning to automation-first operations as the platform matures (Phase 2). Learnings from Incident 5337 (multi-node distributed training failure) are incorporated throughout.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indmap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66666"/>
          <w:sz w:val="18"/>
        </w:rPr>
        <w:t>Figure 1: Healthy Fleet Maintenance — Four-Pillar Problem Space Overview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2. Feature Description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Healthy Fleet Maintenance &amp; Tenant-Safe Node Lifecycle is a platform feature that ensures GPU compute nodes are continuously maintained in a tenant-safe, certifiable state and can be moved between tenants via a deterministic, automated state transition.</w:t>
      </w:r>
    </w:p>
    <w:p>
      <w:pPr>
        <w:pStyle w:val="Heading2"/>
      </w:pPr>
      <w:r>
        <w:rPr>
          <w:rFonts w:ascii="Calibri" w:hAnsi="Calibri"/>
          <w:color w:val="1B3A5C"/>
        </w:rPr>
        <w:t>2.1 Problem Statement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feature solves four critical platform problems: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Healthy Fleet Maintenance:</w:t>
      </w:r>
      <w:r>
        <w:rPr>
          <w:rFonts w:ascii="Calibri" w:hAnsi="Calibri"/>
          <w:color w:val="333333"/>
          <w:sz w:val="20"/>
        </w:rPr>
        <w:t xml:space="preserve"> Sustain 99.5% availability using a buffer pool model and rapid remediation/return-to-fleet workflows, including explicit exception handling when buffer is constrained.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Automated Node Lifecycle:</w:t>
      </w:r>
      <w:r>
        <w:rPr>
          <w:rFonts w:ascii="Calibri" w:hAnsi="Calibri"/>
          <w:color w:val="333333"/>
          <w:sz w:val="20"/>
        </w:rPr>
        <w:t xml:space="preserve"> Use NPD + controllers to detect host-level issues and enforce tenant safety through cordon/taint, with a phased approach from people-driven ops to full automation.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Automated Node Certification:</w:t>
      </w:r>
      <w:r>
        <w:rPr>
          <w:rFonts w:ascii="Calibri" w:hAnsi="Calibri"/>
          <w:color w:val="333333"/>
          <w:sz w:val="20"/>
        </w:rPr>
        <w:t xml:space="preserve"> Enforce BCM burn-in and DCGM/DCGMI diagnostics as the standard SOP below the Kubernetes layer, required before tenant attachment and after repairs/RMA.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Automated Tenant Reassignment:</w:t>
      </w:r>
      <w:r>
        <w:rPr>
          <w:rFonts w:ascii="Calibri" w:hAnsi="Calibri"/>
          <w:color w:val="333333"/>
          <w:sz w:val="20"/>
        </w:rPr>
        <w:t xml:space="preserve"> Implement a fixed state transition: Buffer(healthy) → Tenant X → Buffer(healthy) → Tenant Y, always including re-image, disk wipe, recertification, and host network reconfiguration.</w:t>
      </w:r>
    </w:p>
    <w:p>
      <w:pPr>
        <w:pStyle w:val="Heading2"/>
      </w:pPr>
      <w:r>
        <w:rPr>
          <w:rFonts w:ascii="Calibri" w:hAnsi="Calibri"/>
          <w:color w:val="1B3A5C"/>
        </w:rPr>
        <w:t>2.2 Design Philosophy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design is tenant-first: unhealthy nodes are prevented from serving tenants through consistent detection and enforcement mechanisms. Operationally, the feature is supported by a people + process foundation: a dedicated L1 support squad operating with runbooks, daily triage, and strict time-to-recover targets, which transitions to automation-first operations as the platform matures.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Learnings from Incident 5337 (multi-node job failure) are incorporated to strengthen multi-node readiness and faster quarantine of repeat offenders.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3. Goals &amp; Objectives</w:t>
      </w:r>
    </w:p>
    <w:p>
      <w:pPr>
        <w:pStyle w:val="Heading2"/>
      </w:pPr>
      <w:r>
        <w:rPr>
          <w:rFonts w:ascii="Calibri" w:hAnsi="Calibri"/>
          <w:color w:val="1B3A5C"/>
        </w:rPr>
        <w:t>3.1 Primary Goals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G1. Tenant Safety by Default:</w:t>
      </w:r>
      <w:r>
        <w:rPr>
          <w:rFonts w:ascii="Calibri" w:hAnsi="Calibri"/>
          <w:color w:val="333333"/>
          <w:sz w:val="20"/>
        </w:rPr>
        <w:t xml:space="preserve"> No tenant scheduling on nodes that are degraded, suspect, or uncertified.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G2. 99.5% Availability with Buffer Strategy:</w:t>
      </w:r>
      <w:r>
        <w:rPr>
          <w:rFonts w:ascii="Calibri" w:hAnsi="Calibri"/>
          <w:color w:val="333333"/>
          <w:sz w:val="20"/>
        </w:rPr>
        <w:t xml:space="preserve"> Maintain enough healthy buffer capacity and a deterministic recovery workflow to sustain availability; define explicit exception behavior when buffer is insufficient.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G3. Zero Ambiguity on "Good Host":</w:t>
      </w:r>
      <w:r>
        <w:rPr>
          <w:rFonts w:ascii="Calibri" w:hAnsi="Calibri"/>
          <w:color w:val="333333"/>
          <w:sz w:val="20"/>
        </w:rPr>
        <w:t xml:space="preserve"> Codify the minimum host requirements for GPU and multi-node workloads (GPU + IB/RDMA + Kubernetes node readiness + tenant networking correctness).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G4. Two-Phase Execution:</w:t>
      </w:r>
      <w:r>
        <w:rPr>
          <w:rFonts w:ascii="Calibri" w:hAnsi="Calibri"/>
          <w:color w:val="333333"/>
          <w:sz w:val="20"/>
        </w:rPr>
        <w:t xml:space="preserve"> Phase 1: people-driven daily ops with a dedicated L1 squad and runbooks; strict 24-hour repair/return targets. Phase 2: automation-driven enforcement using NPD + controller workflows + BCM/DCGM tooling.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G5. NPD as a Platform:</w:t>
      </w:r>
      <w:r>
        <w:rPr>
          <w:rFonts w:ascii="Calibri" w:hAnsi="Calibri"/>
          <w:color w:val="333333"/>
          <w:sz w:val="20"/>
        </w:rPr>
        <w:t xml:space="preserve"> Enable multiple teams (Compute Platform, K8s, OE, Network) to contribute detectors and tests under a single framework with standardized outputs (events/conditions/taints) and consistent enforcement semantics.</w:t>
      </w:r>
    </w:p>
    <w:p>
      <w:pPr>
        <w:pStyle w:val="Heading2"/>
      </w:pPr>
      <w:r>
        <w:rPr>
          <w:rFonts w:ascii="Calibri" w:hAnsi="Calibri"/>
          <w:color w:val="1B3A5C"/>
        </w:rPr>
        <w:t>3.2 Secondary Goals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Prevent recurrence of distributed training failures by tightening multi-node prerequisites and correlation across nodes (Incident 5337 learnings).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Reduce manual toil in node moves between tenants by enforcing a single state transition pipeline.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Standardize on evidence capture and routing for hardware faults to accelerate vendor + RMA loops.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4. Scope Definition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216"/>
        <w:gridCol w:w="3216"/>
        <w:gridCol w:w="3216"/>
      </w:tblGrid>
      <w:tr>
        <w:tc>
          <w:tcPr>
            <w:tcW w:type="dxa" w:w="2592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032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In Scope</w:t>
            </w:r>
          </w:p>
        </w:tc>
        <w:tc>
          <w:tcPr>
            <w:tcW w:type="dxa" w:w="3456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Out of Scope</w:t>
            </w:r>
          </w:p>
        </w:tc>
      </w:tr>
      <w:tr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People / Process Operations</w:t>
            </w:r>
          </w:p>
        </w:tc>
        <w:tc>
          <w:tcPr>
            <w:tcW w:type="dxa" w:w="403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Dedicated L1 squad, runbooks, daily triage, escalation paths, reporting</w:t>
            </w:r>
          </w:p>
        </w:tc>
        <w:tc>
          <w:tcPr>
            <w:tcW w:type="dxa" w:w="3456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Owning tenant application ops/runbooks</w:t>
            </w:r>
          </w:p>
        </w:tc>
      </w:tr>
      <w:tr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Host Certification</w:t>
              <w:br/>
              <w:t>(pre-tenant &amp; post-fix)</w:t>
            </w:r>
          </w:p>
        </w:tc>
        <w:tc>
          <w:tcPr>
            <w:tcW w:type="dxa" w:w="403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BCM burn-in, DCGM/DCGMI diagnostics, ECC checks, pass/fail tagging, evidence artifacts</w:t>
            </w:r>
          </w:p>
        </w:tc>
        <w:tc>
          <w:tcPr>
            <w:tcW w:type="dxa" w:w="3456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Tenant workload-level tests beyond host safety gating</w:t>
            </w:r>
          </w:p>
        </w:tc>
      </w:tr>
      <w:tr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Lifecycle</w:t>
              <w:br/>
              <w:t>Automation</w:t>
            </w:r>
          </w:p>
        </w:tc>
        <w:tc>
          <w:tcPr>
            <w:tcW w:type="dxa" w:w="403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Buffer/tenant/quarantine state machine, cordon/taint, deterministic tenant reassignment flow</w:t>
            </w:r>
          </w:p>
        </w:tc>
        <w:tc>
          <w:tcPr>
            <w:tcW w:type="dxa" w:w="3456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Auto-reboot/auto-reimage unless explicitly approved</w:t>
            </w:r>
          </w:p>
        </w:tc>
      </w:tr>
      <w:tr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Kubernetes Node</w:t>
              <w:br/>
              <w:t>Boundary</w:t>
            </w:r>
          </w:p>
        </w:tc>
        <w:tc>
          <w:tcPr>
            <w:tcW w:type="dxa" w:w="403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readiness, kubelet/runtime stability, operator health (GPU/network), enforcement via taints/tolerations</w:t>
            </w:r>
          </w:p>
        </w:tc>
        <w:tc>
          <w:tcPr>
            <w:tcW w:type="dxa" w:w="3456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Tenant scheduling policy beyond enforcing "don't schedule on unhealthy nodes"</w:t>
            </w:r>
          </w:p>
        </w:tc>
      </w:tr>
      <w:tr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NVIDIA + K8s</w:t>
              <w:br/>
              <w:t>Stack Layers</w:t>
            </w:r>
          </w:p>
        </w:tc>
        <w:tc>
          <w:tcPr>
            <w:tcW w:type="dxa" w:w="403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GPU operator, network operator, IB SR-IOV, Multus, host driver/runtime integration</w:t>
            </w:r>
          </w:p>
        </w:tc>
        <w:tc>
          <w:tcPr>
            <w:tcW w:type="dxa" w:w="3456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Higher-layer tenant services and application SLO/SLA</w:t>
            </w:r>
          </w:p>
        </w:tc>
      </w:tr>
      <w:tr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Host Networking /</w:t>
              <w:br/>
              <w:t>Tenant Network</w:t>
            </w:r>
          </w:p>
        </w:tc>
        <w:tc>
          <w:tcPr>
            <w:tcW w:type="dxa" w:w="403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IB readiness at node boundary; VLAN + routing via node routing agent; dependency contract with Network team</w:t>
            </w:r>
          </w:p>
        </w:tc>
        <w:tc>
          <w:tcPr>
            <w:tcW w:type="dxa" w:w="3456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Full network team domain ownership (fabric architecture/operations)</w:t>
            </w:r>
          </w:p>
        </w:tc>
      </w:tr>
      <w:tr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Running Tenants</w:t>
              <w:br/>
              <w:t>(host-level impact)</w:t>
            </w:r>
          </w:p>
        </w:tc>
        <w:tc>
          <w:tcPr>
            <w:tcW w:type="dxa" w:w="403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Host safety detection and quarantine while nodes serve tenants</w:t>
            </w:r>
          </w:p>
        </w:tc>
        <w:tc>
          <w:tcPr>
            <w:tcW w:type="dxa" w:w="3456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Application debugging, model/training code issues</w:t>
            </w:r>
          </w:p>
        </w:tc>
      </w:tr>
      <w:tr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RMA Workflow</w:t>
            </w:r>
          </w:p>
        </w:tc>
        <w:tc>
          <w:tcPr>
            <w:tcW w:type="dxa" w:w="403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Evidence capture, ticket routing, post-RMA recertification gate back to buffer</w:t>
            </w:r>
          </w:p>
        </w:tc>
        <w:tc>
          <w:tcPr>
            <w:tcW w:type="dxa" w:w="3456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Physical swap/shipping execution ownership (DC Infra + vendor)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5. Architecture Design</w:t>
      </w:r>
    </w:p>
    <w:p>
      <w:pPr>
        <w:pStyle w:val="Heading2"/>
      </w:pPr>
      <w:r>
        <w:rPr>
          <w:rFonts w:ascii="Calibri" w:hAnsi="Calibri"/>
          <w:color w:val="1B3A5C"/>
        </w:rPr>
        <w:t>5.1 Layered Component View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platform manages the following layers from hardware to application boundary: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4824"/>
        <w:gridCol w:w="4824"/>
      </w:tblGrid>
      <w:tr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720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Components</w:t>
            </w:r>
          </w:p>
        </w:tc>
      </w:tr>
      <w:tr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Hardware</w:t>
            </w:r>
          </w:p>
        </w:tc>
        <w:tc>
          <w:tcPr>
            <w:tcW w:type="dxa" w:w="72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GPU, HCA/NIC (InfiniBand), NVMe, BMC, CPU/Memory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Host OS</w:t>
            </w:r>
          </w:p>
        </w:tc>
        <w:tc>
          <w:tcPr>
            <w:tcW w:type="dxa" w:w="72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Kernel, drivers, filesystem, time sync, container runtime</w:t>
            </w:r>
          </w:p>
        </w:tc>
      </w:tr>
      <w:tr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NVIDIA Stack</w:t>
            </w:r>
          </w:p>
        </w:tc>
        <w:tc>
          <w:tcPr>
            <w:tcW w:type="dxa" w:w="72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BCM tooling, DCGM/DCGMI diagnostics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Kubernetes Node Layer</w:t>
            </w:r>
          </w:p>
        </w:tc>
        <w:tc>
          <w:tcPr>
            <w:tcW w:type="dxa" w:w="72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GPU operator, network operator, IB SR-IOV, Multus, NPD</w:t>
            </w:r>
          </w:p>
        </w:tc>
      </w:tr>
      <w:tr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Tenant Network</w:t>
            </w:r>
          </w:p>
        </w:tc>
        <w:tc>
          <w:tcPr>
            <w:tcW w:type="dxa" w:w="72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routing agent for VLAN/tenant routing; IB + VLAN dependencies with Network team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Controller Layer</w:t>
            </w:r>
          </w:p>
        </w:tc>
        <w:tc>
          <w:tcPr>
            <w:tcW w:type="dxa" w:w="72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compute-node-manager/controller for lifecycle and tenant assignments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5.2 NPD as a Platform (Multi-Team Contribution Model)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Node Problem Detector (NPD) serves as the common substrate for node health detection and standardized outputs. It operates as a platform that multiple teams contribute to, centralizing health detection while preserving domain ownership of individual detectors.</w:t>
      </w:r>
    </w:p>
    <w:p>
      <w:pPr>
        <w:pStyle w:val="Heading3"/>
      </w:pPr>
      <w:r>
        <w:rPr>
          <w:rFonts w:ascii="Calibri" w:hAnsi="Calibri"/>
          <w:color w:val="1B3A5C"/>
        </w:rPr>
        <w:t>Contribution Model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Compute Platform:</w:t>
      </w:r>
      <w:r>
        <w:rPr>
          <w:rFonts w:ascii="Calibri" w:hAnsi="Calibri"/>
          <w:color w:val="333333"/>
          <w:sz w:val="20"/>
        </w:rPr>
        <w:t xml:space="preserve"> GPU + IB multi-node readiness detectors, certification gates, evidence capture hooks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Kubernetes Team:</w:t>
      </w:r>
      <w:r>
        <w:rPr>
          <w:rFonts w:ascii="Calibri" w:hAnsi="Calibri"/>
          <w:color w:val="333333"/>
          <w:sz w:val="20"/>
        </w:rPr>
        <w:t xml:space="preserve"> kubelet/runtime, node readiness, nodefs/imagefs pressure detectors and enforcement wiring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OE Team:</w:t>
      </w:r>
      <w:r>
        <w:rPr>
          <w:rFonts w:ascii="Calibri" w:hAnsi="Calibri"/>
          <w:color w:val="333333"/>
          <w:sz w:val="20"/>
        </w:rPr>
        <w:t xml:space="preserve"> Host OS and hardware-facing detectors (kernel, drivers, DCGM signal interpretation, time sync)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Network Team:</w:t>
      </w:r>
      <w:r>
        <w:rPr>
          <w:rFonts w:ascii="Calibri" w:hAnsi="Calibri"/>
          <w:color w:val="333333"/>
          <w:sz w:val="20"/>
        </w:rPr>
        <w:t xml:space="preserve"> Tenant VLAN/IB fabric validation hooks or APIs used by node routing agent checks</w:t>
      </w:r>
    </w:p>
    <w:p>
      <w:pPr>
        <w:pStyle w:val="Heading3"/>
      </w:pPr>
      <w:r>
        <w:rPr>
          <w:rFonts w:ascii="Calibri" w:hAnsi="Calibri"/>
          <w:color w:val="1B3A5C"/>
        </w:rPr>
        <w:t>Standardized Outputs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Node Events:</w:t>
      </w:r>
      <w:r>
        <w:rPr>
          <w:rFonts w:ascii="Calibri" w:hAnsi="Calibri"/>
          <w:color w:val="333333"/>
          <w:sz w:val="20"/>
        </w:rPr>
        <w:t xml:space="preserve"> Human-readable audit trail for operational visibility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Node Conditions:</w:t>
      </w:r>
      <w:r>
        <w:rPr>
          <w:rFonts w:ascii="Calibri" w:hAnsi="Calibri"/>
          <w:color w:val="333333"/>
          <w:sz w:val="20"/>
        </w:rPr>
        <w:t xml:space="preserve"> Machine-readable state for controller consumption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Taints:</w:t>
      </w:r>
      <w:r>
        <w:rPr>
          <w:rFonts w:ascii="Calibri" w:hAnsi="Calibri"/>
          <w:color w:val="333333"/>
          <w:sz w:val="20"/>
        </w:rPr>
        <w:t xml:space="preserve"> Enforcement mechanism: NoSchedule / PreferNoSchedule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pd_plat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66666"/>
          <w:sz w:val="18"/>
        </w:rPr>
        <w:t>Figure 2: NPD as a Platform — Multi-Team Contribution Model</w:t>
      </w:r>
    </w:p>
    <w:p>
      <w:pPr>
        <w:pStyle w:val="Heading2"/>
      </w:pPr>
      <w:r>
        <w:rPr>
          <w:rFonts w:ascii="Calibri" w:hAnsi="Calibri"/>
          <w:color w:val="1B3A5C"/>
        </w:rPr>
        <w:t>5.3 "Good Host" Definition (Tenant-Eligibility Requirements)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A node must satisfy ALL of the following requirements to be considered tenant-eligible. These requirements constitute the codified "good host" standard:</w:t>
      </w:r>
    </w:p>
    <w:p>
      <w:pPr>
        <w:pStyle w:val="Heading3"/>
      </w:pPr>
      <w:r>
        <w:rPr>
          <w:rFonts w:ascii="Calibri" w:hAnsi="Calibri"/>
          <w:color w:val="1B3A5C"/>
        </w:rPr>
        <w:t>GPU Health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DCGM/DCGMI diagnostics pass at required level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ECC within thresholds; no critical ECC escalation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No repeating critical XID classes within a defined window (policy-defined)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GPU operator healthy and reporting</w:t>
      </w:r>
    </w:p>
    <w:p>
      <w:pPr>
        <w:pStyle w:val="Heading3"/>
      </w:pPr>
      <w:r>
        <w:rPr>
          <w:rFonts w:ascii="Calibri" w:hAnsi="Calibri"/>
          <w:color w:val="1B3A5C"/>
        </w:rPr>
        <w:t>Network + Multi-Node Readiness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IB interface up and stable; link flaps under threshold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IB error counters under thresholds; SR-IOV VFs healthy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Network operator healthy; Multus configuration correct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Node routing agent applied; VLAN/tenant routing validated</w:t>
      </w:r>
    </w:p>
    <w:p>
      <w:pPr>
        <w:pStyle w:val="Heading3"/>
      </w:pPr>
      <w:r>
        <w:rPr>
          <w:rFonts w:ascii="Calibri" w:hAnsi="Calibri"/>
          <w:color w:val="1B3A5C"/>
        </w:rPr>
        <w:t>Node + OS Health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Node Ready; kubelet and runtime stable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Filesystem not read-only; no repeated kernel panic signatures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Storage health not degraded (SMART/media errors, IO errors)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Meets SKU allocatable expectations (including ephemeral constraints if relevant)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216"/>
        <w:gridCol w:w="3216"/>
        <w:gridCol w:w="3216"/>
      </w:tblGrid>
      <w:tr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60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Check</w:t>
            </w:r>
          </w:p>
        </w:tc>
        <w:tc>
          <w:tcPr>
            <w:tcW w:type="dxa" w:w="432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Threshold / Criteria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GPU Health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DCGM/DCGMI diagnostics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Pass at Level 3 (default)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GPU Health</w:t>
            </w:r>
          </w:p>
        </w:tc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ECC error rate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&lt; threshold per 24h window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GPU Health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XID critical events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 repeating critical XIDs in defined window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GPU Health</w:t>
            </w:r>
          </w:p>
        </w:tc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GPU operator status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Healthy, all pods Running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Network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IB link status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Up, stable, flaps &lt; threshold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Network</w:t>
            </w:r>
          </w:p>
        </w:tc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IB error counters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Below vendor-defined thresholds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Network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SR-IOV VFs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All VFs healthy and available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Network</w:t>
            </w:r>
          </w:p>
        </w:tc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Multus configuration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Correct, validated against expected spec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Node/OS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readiness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Ready condition = True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Node/OS</w:t>
            </w:r>
          </w:p>
        </w:tc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Filesystem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Not read-only; no panic signatures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Node/OS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Storage (SMART)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 media errors, IO errors &lt; threshold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Node/OS</w:t>
            </w:r>
          </w:p>
        </w:tc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Allocatable resources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Meets SKU expectations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Calibri" w:hAnsi="Calibri"/>
          <w:color w:val="1B3A5C"/>
        </w:rPr>
        <w:t>5.4 Core Workflow: Detect → Self-Heal → Enforce → Recover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core operational workflow follows a deterministic path from signal detection to resolution. Self-heal is allowed only for an explicit allowlist (example: reset IB interface) with bounded retries and strict time windows. Otherwise, the default action is quarantine.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workflow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66666"/>
          <w:sz w:val="18"/>
        </w:rPr>
        <w:t>Figure 3: Detection → Enforcement → Recovery Workflow</w:t>
      </w:r>
    </w:p>
    <w:p>
      <w:pPr>
        <w:pStyle w:val="Heading3"/>
      </w:pPr>
      <w:r>
        <w:rPr>
          <w:rFonts w:ascii="Calibri" w:hAnsi="Calibri"/>
          <w:color w:val="1B3A5C"/>
        </w:rPr>
        <w:t>Workflow Phases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Detection:</w:t>
      </w:r>
      <w:r>
        <w:rPr>
          <w:rFonts w:ascii="Calibri" w:hAnsi="Calibri"/>
          <w:color w:val="333333"/>
          <w:sz w:val="20"/>
        </w:rPr>
        <w:t xml:space="preserve"> NPD detectors and custom plugins monitor host signals (GPU, IB, filesystem, kubelet, runtime). Detectors produce standardized Node Events, Node Conditions, and taint/cordon recommendations.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Self-Heal (Conditional):</w:t>
      </w:r>
      <w:r>
        <w:rPr>
          <w:rFonts w:ascii="Calibri" w:hAnsi="Calibri"/>
          <w:color w:val="333333"/>
          <w:sz w:val="20"/>
        </w:rPr>
        <w:t xml:space="preserve"> For allowlisted conditions only (e.g., IB interface reset), bounded retry with strict time window. Recovery clears transient state; failure escalates to quarantine.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Enforcement:</w:t>
      </w:r>
      <w:r>
        <w:rPr>
          <w:rFonts w:ascii="Calibri" w:hAnsi="Calibri"/>
          <w:color w:val="333333"/>
          <w:sz w:val="20"/>
        </w:rPr>
        <w:t xml:space="preserve"> Quarantine via cordon + taint (NoSchedule). Scheduling is immediately prevented on the node. Alert and ticket routing are triggered.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Recovery:</w:t>
      </w:r>
      <w:r>
        <w:rPr>
          <w:rFonts w:ascii="Calibri" w:hAnsi="Calibri"/>
          <w:color w:val="333333"/>
          <w:sz w:val="20"/>
        </w:rPr>
        <w:t xml:space="preserve"> Repair/RMA workflow. Post-fix recertification is mandatory (BCM burn-in + DCGM/DCGMI). Only a passing recertification returns the node to BUFFER_HEALTHY.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color w:val="1B3A5C"/>
        </w:rPr>
        <w:t>5.5 Node Lifecycle &amp; Tenant Reassignment State Model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node lifecycle is modeled as a finite state machine with five states and deterministic transitions. Every tenant reassignment must traverse through BUFFER_HEALTHY, ensuring re-image, disk wipe, recertification, and network reconfiguration occur before a node can serve a new tenant.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ate_mach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66666"/>
          <w:sz w:val="18"/>
        </w:rPr>
        <w:t>Figure 4: Node Lifecycle State Machine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2412"/>
        <w:gridCol w:w="2412"/>
        <w:gridCol w:w="2412"/>
        <w:gridCol w:w="2412"/>
      </w:tblGrid>
      <w:tr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2592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Entry Condition</w:t>
            </w:r>
          </w:p>
        </w:tc>
        <w:tc>
          <w:tcPr>
            <w:tcW w:type="dxa" w:w="2448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Exit Condition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BUFFER_HEALTHY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is healthy, certified, and available for tenant assignment</w:t>
            </w:r>
          </w:p>
        </w:tc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Initial provisioning OR recertification pass</w:t>
            </w:r>
          </w:p>
        </w:tc>
        <w:tc>
          <w:tcPr>
            <w:tcW w:type="dxa" w:w="2448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Tenant attachment OR blocking signal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TENANT_ASSIGNED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is actively serving a tenant workload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Attach tenant label from BUFFER_HEALTHY</w:t>
            </w:r>
          </w:p>
        </w:tc>
        <w:tc>
          <w:tcPr>
            <w:tcW w:type="dxa" w:w="2448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Detach + recertify OR blocking signal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QUARANTINED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has a blocking signal; removed from scheduling</w:t>
            </w:r>
          </w:p>
        </w:tc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Blocking signal from any active state</w:t>
            </w:r>
          </w:p>
        </w:tc>
        <w:tc>
          <w:tcPr>
            <w:tcW w:type="dxa" w:w="2448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Triage initiated → REPAIR_IN_PROGRESS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REPAIR_IN_PROGRESS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is undergoing triage, fix, or RMA process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Triage/fix/RMA initiated</w:t>
            </w:r>
          </w:p>
        </w:tc>
        <w:tc>
          <w:tcPr>
            <w:tcW w:type="dxa" w:w="2448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Fix complete → RECERTIFY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RECERTIFY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undergoing BCM burn-in + DCGM/DCGMI diagnostics</w:t>
            </w:r>
          </w:p>
        </w:tc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Repair/fix complete</w:t>
            </w:r>
          </w:p>
        </w:tc>
        <w:tc>
          <w:tcPr>
            <w:tcW w:type="dxa" w:w="2448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Pass → BUFFER_HEALTHY; Fail → QUARANTINED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Calibri" w:hAnsi="Calibri"/>
          <w:color w:val="1B3A5C"/>
        </w:rPr>
        <w:t>5.6 Buffer Pool Strategy &amp; Fleet Availability Model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buffer pool strategy is the mechanism by which 99.5% fleet availability is sustained. The fleet is partitioned into four pools, with strict flow constraints between them.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uffer_strate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66666"/>
          <w:sz w:val="18"/>
        </w:rPr>
        <w:t>Figure 5: Buffer Pool Strategy &amp; Fleet Availability Model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216"/>
        <w:gridCol w:w="3216"/>
        <w:gridCol w:w="3216"/>
      </w:tblGrid>
      <w:tr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Mode</w:t>
            </w:r>
          </w:p>
        </w:tc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Buffer Status</w:t>
            </w:r>
          </w:p>
        </w:tc>
        <w:tc>
          <w:tcPr>
            <w:tcW w:type="dxa" w:w="504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Operational Behavior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Normal Mode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Buffer ≥ Threshold</w:t>
            </w:r>
          </w:p>
        </w:tc>
        <w:tc>
          <w:tcPr>
            <w:tcW w:type="dxa" w:w="504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Standard operations. Tenant assignment proceeds without restriction. Buffer replenishment via repair/recertification pipeline.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Constrained Mode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Buffer approaching minimum</w:t>
            </w:r>
          </w:p>
        </w:tc>
        <w:tc>
          <w:tcPr>
            <w:tcW w:type="dxa" w:w="504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Heightened alerting. Repair velocity is escalated. L1 squad reports buffer status in daily triage.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Exception Mode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Buffer below minimum</w:t>
            </w:r>
          </w:p>
        </w:tc>
        <w:tc>
          <w:tcPr>
            <w:tcW w:type="dxa" w:w="504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Audited, time-bounded exceptions. Explicit approval required for any tenant assignment from constrained buffer. All exceptions logged and reviewed.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6. Infrastructure Callouts</w:t>
      </w:r>
    </w:p>
    <w:p>
      <w:pPr>
        <w:pStyle w:val="Heading2"/>
      </w:pPr>
      <w:r>
        <w:rPr>
          <w:rFonts w:ascii="Calibri" w:hAnsi="Calibri"/>
          <w:color w:val="1B3A5C"/>
        </w:rPr>
        <w:t>6.1 Fleet Operations Foundation (People + Process)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operational foundation is a dedicated L1 squad with the following structure: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 xml:space="preserve">Runbooks: </w:t>
      </w:r>
      <w:r>
        <w:rPr>
          <w:rFonts w:ascii="Calibri" w:hAnsi="Calibri"/>
          <w:color w:val="333333"/>
          <w:sz w:val="20"/>
        </w:rPr>
        <w:t>Runbooks per failure category (GPU, IB, OS, Kubernetes node, disk)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 xml:space="preserve">Daily Triage: </w:t>
      </w:r>
      <w:r>
        <w:rPr>
          <w:rFonts w:ascii="Calibri" w:hAnsi="Calibri"/>
          <w:color w:val="333333"/>
          <w:sz w:val="20"/>
        </w:rPr>
        <w:t>Daily triage cadence and daily fleet health report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 xml:space="preserve">Escalation: </w:t>
      </w:r>
      <w:r>
        <w:rPr>
          <w:rFonts w:ascii="Calibri" w:hAnsi="Calibri"/>
          <w:color w:val="333333"/>
          <w:sz w:val="20"/>
        </w:rPr>
        <w:t>Defined escalation matrix and paging rules</w:t>
      </w:r>
    </w:p>
    <w:p>
      <w:pPr>
        <w:pStyle w:val="Heading3"/>
      </w:pPr>
      <w:r>
        <w:rPr>
          <w:rFonts w:ascii="Calibri" w:hAnsi="Calibri"/>
          <w:color w:val="1B3A5C"/>
        </w:rPr>
        <w:t>Operating Targets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216"/>
        <w:gridCol w:w="3216"/>
        <w:gridCol w:w="3216"/>
      </w:tblGrid>
      <w:tr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Issue Category</w:t>
            </w:r>
          </w:p>
        </w:tc>
        <w:tc>
          <w:tcPr>
            <w:tcW w:type="dxa" w:w="360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360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SLA Commitment</w:t>
            </w:r>
          </w:p>
        </w:tc>
      </w:tr>
      <w:tr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Non-hardware issues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Return node to fleet within 24 hours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L1 squad accountability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Hardware issues</w:t>
            </w:r>
          </w:p>
        </w:tc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Evidence capture and ticket initiation same day</w:t>
            </w:r>
          </w:p>
        </w:tc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RMA path with DC Infra SLA</w:t>
            </w:r>
          </w:p>
        </w:tc>
      </w:tr>
      <w:tr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Critical buffer impact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Immediate escalation and exception mode activation</w:t>
            </w:r>
          </w:p>
        </w:tc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Management notification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6.2 Tooling Stack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BCM Burn-in:</w:t>
      </w:r>
      <w:r>
        <w:rPr>
          <w:rFonts w:ascii="Calibri" w:hAnsi="Calibri"/>
          <w:color w:val="333333"/>
          <w:sz w:val="20"/>
        </w:rPr>
        <w:t xml:space="preserve"> Host reprovision/wipe workflows and burn-in phase certification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DCGM/DCGMI:</w:t>
      </w:r>
      <w:r>
        <w:rPr>
          <w:rFonts w:ascii="Calibri" w:hAnsi="Calibri"/>
          <w:color w:val="333333"/>
          <w:sz w:val="20"/>
        </w:rPr>
        <w:t xml:space="preserve"> GPU diagnostics as certification gates at configurable diagnostic levels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NPD Plugins:</w:t>
      </w:r>
      <w:r>
        <w:rPr>
          <w:rFonts w:ascii="Calibri" w:hAnsi="Calibri"/>
          <w:color w:val="333333"/>
          <w:sz w:val="20"/>
        </w:rPr>
        <w:t xml:space="preserve"> Custom plugins for GPU/IB-specific checks and multi-node readiness validation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Node Routing Agent:</w:t>
      </w:r>
      <w:r>
        <w:rPr>
          <w:rFonts w:ascii="Calibri" w:hAnsi="Calibri"/>
          <w:color w:val="333333"/>
          <w:sz w:val="20"/>
        </w:rPr>
        <w:t xml:space="preserve"> VLAN/tenant network configuration (dependency on Network team)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Ticket Routing Automation:</w:t>
      </w:r>
      <w:r>
        <w:rPr>
          <w:rFonts w:ascii="Calibri" w:hAnsi="Calibri"/>
          <w:color w:val="333333"/>
          <w:sz w:val="20"/>
        </w:rPr>
        <w:t xml:space="preserve"> Auto-label and auto-route tickets to appropriate teams</w:t>
      </w:r>
    </w:p>
    <w:p>
      <w:pPr>
        <w:pStyle w:val="Heading2"/>
      </w:pPr>
      <w:r>
        <w:rPr>
          <w:rFonts w:ascii="Calibri" w:hAnsi="Calibri"/>
          <w:color w:val="1B3A5C"/>
        </w:rPr>
        <w:t>6.3 Incident 5337 Integration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Multi-node job failure learnings from Incident 5337 drive the following enhancements: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Stricter IB readiness thresholds for multi-node workloads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Correlation across node sets participating in a distributed job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Faster quarantine of repeat offenders (nodes with recurring failures)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Buffer-tenant testing includes multi-node smoke checks, not only single-node checks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7. End-to-End Test Plan</w:t>
      </w:r>
    </w:p>
    <w:p>
      <w:pPr>
        <w:pStyle w:val="Heading2"/>
      </w:pPr>
      <w:r>
        <w:rPr>
          <w:rFonts w:ascii="Calibri" w:hAnsi="Calibri"/>
          <w:color w:val="1B3A5C"/>
        </w:rPr>
        <w:t>7.1 Test Layers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216"/>
        <w:gridCol w:w="3216"/>
        <w:gridCol w:w="3216"/>
      </w:tblGrid>
      <w:tr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Test Layer</w:t>
            </w:r>
          </w:p>
        </w:tc>
        <w:tc>
          <w:tcPr>
            <w:tcW w:type="dxa" w:w="432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What We Validate</w:t>
            </w:r>
          </w:p>
        </w:tc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Where It Runs</w:t>
            </w:r>
          </w:p>
        </w:tc>
      </w:tr>
      <w:tr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Pre-Tenant Certification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BCM burn-in pass; DCGM diagnostics pass; ECC thresholds; GPU/network operators healthy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Buffer pool / certification pipeline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Readiness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Ready; kubelet/runtime stable; no FS read-only; disk health OK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Continuous + pre-attach gates</w:t>
            </w:r>
          </w:p>
        </w:tc>
      </w:tr>
      <w:tr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IB / Multi-Node Readiness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IB link up, stable, counters within threshold; SR-IOV VFs healthy; Multus correct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Continuous + pre-attach gates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Tenant Networking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routing agent applied; VLAN/tenant routing verified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Pre-attach gates + periodic checks</w:t>
            </w:r>
          </w:p>
        </w:tc>
      </w:tr>
      <w:tr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Enforcement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On failure: taint/cordon applied; scheduling prevented; alerts fired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Continuous</w:t>
            </w:r>
          </w:p>
        </w:tc>
      </w:tr>
      <w:tr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Recovery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Repair workflow clears faults; recertification required; node returns to buffer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Post-fix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7.2 Multi-Node Tests (Incident 5337–Specific)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Synthetic distributed workload smoke test in buffer/default tenant (small scale, consistent repeatability)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Cross-node connectivity/IB health validation for node set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Correlation logic: job failure → suspect node identification → quarantine repeat offenders</w:t>
      </w:r>
    </w:p>
    <w:p>
      <w:pPr>
        <w:pStyle w:val="Heading2"/>
      </w:pPr>
      <w:r>
        <w:rPr>
          <w:rFonts w:ascii="Calibri" w:hAnsi="Calibri"/>
          <w:color w:val="1B3A5C"/>
        </w:rPr>
        <w:t>7.3 Acceptance Criteria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AC-1:</w:t>
      </w:r>
      <w:r>
        <w:rPr>
          <w:rFonts w:ascii="Calibri" w:hAnsi="Calibri"/>
          <w:color w:val="333333"/>
          <w:sz w:val="20"/>
        </w:rPr>
        <w:t xml:space="preserve"> A node cannot enter TENANT_ASSIGNED unless BUFFER_HEALTHY gates pass.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AC-2:</w:t>
      </w:r>
      <w:r>
        <w:rPr>
          <w:rFonts w:ascii="Calibri" w:hAnsi="Calibri"/>
          <w:color w:val="333333"/>
          <w:sz w:val="20"/>
        </w:rPr>
        <w:t xml:space="preserve"> Any blocking signal results in quarantine (cordon + taint) within a defined detection-to-quarantine SLO.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AC-3:</w:t>
      </w:r>
      <w:r>
        <w:rPr>
          <w:rFonts w:ascii="Calibri" w:hAnsi="Calibri"/>
          <w:color w:val="333333"/>
          <w:sz w:val="20"/>
        </w:rPr>
        <w:t xml:space="preserve"> No return-to-buffer without recertification pass (burn-in + DCGM/DCGMI).</w:t>
      </w:r>
    </w:p>
    <w:p>
      <w:pPr>
        <w:pStyle w:val="ListBullet"/>
        <w:ind w:left="360"/>
      </w:pPr>
      <w:r>
        <w:rPr>
          <w:rFonts w:ascii="Calibri" w:hAnsi="Calibri"/>
          <w:b/>
          <w:color w:val="333333"/>
          <w:sz w:val="20"/>
        </w:rPr>
        <w:t>AC-4:</w:t>
      </w:r>
      <w:r>
        <w:rPr>
          <w:rFonts w:ascii="Calibri" w:hAnsi="Calibri"/>
          <w:color w:val="333333"/>
          <w:sz w:val="20"/>
        </w:rPr>
        <w:t xml:space="preserve"> Tenant reassignment always follows reimage + disk wipe + recertification + network reconfig.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8. Enterprise Promises (50,000-Foot View)</w:t>
      </w:r>
    </w:p>
    <w:p>
      <w:pPr>
        <w:spacing w:after="120" w:before="60"/>
      </w:pPr>
      <w:r>
        <w:rPr>
          <w:rFonts w:ascii="Calibri" w:hAnsi="Calibri"/>
          <w:b w:val="0"/>
          <w:i w:val="0"/>
          <w:color w:val="333333"/>
          <w:sz w:val="21"/>
        </w:rPr>
        <w:t>The following commitments represent the platform-level guarantees delivered by this feature: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216"/>
        <w:gridCol w:w="3216"/>
        <w:gridCol w:w="3216"/>
      </w:tblGrid>
      <w:tr>
        <w:tc>
          <w:tcPr>
            <w:tcW w:type="dxa" w:w="72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Promise</w:t>
            </w:r>
          </w:p>
        </w:tc>
        <w:tc>
          <w:tcPr>
            <w:tcW w:type="dxa" w:w="648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How It Is Delivered</w:t>
            </w:r>
          </w:p>
        </w:tc>
      </w:tr>
      <w:tr>
        <w:tc>
          <w:tcPr>
            <w:tcW w:type="dxa" w:w="7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1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Tenant Safety by Default</w:t>
            </w:r>
          </w:p>
        </w:tc>
        <w:tc>
          <w:tcPr>
            <w:tcW w:type="dxa" w:w="64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Unhealthy nodes are removed from scheduling automatically via NPD + taint enforcement.</w:t>
            </w:r>
          </w:p>
        </w:tc>
      </w:tr>
      <w:tr>
        <w:tc>
          <w:tcPr>
            <w:tcW w:type="dxa" w:w="7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2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Predictable Availability</w:t>
            </w:r>
          </w:p>
        </w:tc>
        <w:tc>
          <w:tcPr>
            <w:tcW w:type="dxa" w:w="64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Healthy buffer strategy plus rapid repair/recertification maintains 99.5% with defined exception handling.</w:t>
            </w:r>
          </w:p>
        </w:tc>
      </w:tr>
      <w:tr>
        <w:tc>
          <w:tcPr>
            <w:tcW w:type="dxa" w:w="7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3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Deterministic Lifecycle</w:t>
            </w:r>
          </w:p>
        </w:tc>
        <w:tc>
          <w:tcPr>
            <w:tcW w:type="dxa" w:w="64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All node moves between tenants follow the same secure, clean state transition.</w:t>
            </w:r>
          </w:p>
        </w:tc>
      </w:tr>
      <w:tr>
        <w:tc>
          <w:tcPr>
            <w:tcW w:type="dxa" w:w="7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4</w:t>
            </w:r>
          </w:p>
        </w:tc>
        <w:tc>
          <w:tcPr>
            <w:tcW w:type="dxa" w:w="28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Operational Maturity</w:t>
            </w:r>
          </w:p>
        </w:tc>
        <w:tc>
          <w:tcPr>
            <w:tcW w:type="dxa" w:w="64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Dedicated L1 squad and runbooks initially, transitioning to automation-first operations.</w:t>
            </w:r>
          </w:p>
        </w:tc>
      </w:tr>
      <w:tr>
        <w:tc>
          <w:tcPr>
            <w:tcW w:type="dxa" w:w="7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5</w:t>
            </w:r>
          </w:p>
        </w:tc>
        <w:tc>
          <w:tcPr>
            <w:tcW w:type="dxa" w:w="28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Platform Extensibility</w:t>
            </w:r>
          </w:p>
        </w:tc>
        <w:tc>
          <w:tcPr>
            <w:tcW w:type="dxa" w:w="64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NPD as a shared platform allows multiple teams to contribute health checks without fragmenting enforcement.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9. Deployment, Observability &amp; Ongoing Operations</w:t>
      </w:r>
    </w:p>
    <w:p>
      <w:pPr>
        <w:pStyle w:val="Heading2"/>
      </w:pPr>
      <w:r>
        <w:rPr>
          <w:rFonts w:ascii="Calibri" w:hAnsi="Calibri"/>
          <w:color w:val="1B3A5C"/>
        </w:rPr>
        <w:t>9.1 Staged Deployment Approach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216"/>
        <w:gridCol w:w="3216"/>
        <w:gridCol w:w="3216"/>
      </w:tblGrid>
      <w:tr>
        <w:tc>
          <w:tcPr>
            <w:tcW w:type="dxa" w:w="144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Stage</w:t>
            </w:r>
          </w:p>
        </w:tc>
        <w:tc>
          <w:tcPr>
            <w:tcW w:type="dxa" w:w="432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432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Risk Posture</w:t>
            </w:r>
          </w:p>
        </w:tc>
      </w:tr>
      <w:tr>
        <w:tc>
          <w:tcPr>
            <w:tcW w:type="dxa" w:w="144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Stage 1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Deploy NPD baseline + dashboards (observe only)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 enforcement — validation mode</w:t>
            </w:r>
          </w:p>
        </w:tc>
      </w:tr>
      <w:tr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Stage 2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Enable enforcement in buffer pool only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Limited blast radius — buffer nodes only</w:t>
            </w:r>
          </w:p>
        </w:tc>
      </w:tr>
      <w:tr>
        <w:tc>
          <w:tcPr>
            <w:tcW w:type="dxa" w:w="144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Stage 3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Enforce gating for tenant attachment</w:t>
            </w:r>
          </w:p>
        </w:tc>
        <w:tc>
          <w:tcPr>
            <w:tcW w:type="dxa" w:w="43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Tenant-impacting — requires rollback plan</w:t>
            </w:r>
          </w:p>
        </w:tc>
      </w:tr>
      <w:tr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Stage 4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Enable automated reassignment workflow</w:t>
            </w:r>
          </w:p>
        </w:tc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Full automation — monitoring at max sensitivity</w:t>
            </w:r>
          </w:p>
        </w:tc>
      </w:tr>
    </w:tbl>
    <w:p/>
    <w:p>
      <w:pPr>
        <w:pStyle w:val="Heading3"/>
      </w:pPr>
      <w:r>
        <w:rPr>
          <w:rFonts w:ascii="Calibri" w:hAnsi="Calibri"/>
          <w:color w:val="1B3A5C"/>
        </w:rPr>
        <w:t>Feature Flags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Allowlisted self-heal on/off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Thresholds for XID/ECC/IB counters (configurable per SKU)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Consent-based toleration policy</w:t>
      </w:r>
    </w:p>
    <w:p>
      <w:pPr>
        <w:pStyle w:val="Heading2"/>
      </w:pPr>
      <w:r>
        <w:rPr>
          <w:rFonts w:ascii="Calibri" w:hAnsi="Calibri"/>
          <w:color w:val="1B3A5C"/>
        </w:rPr>
        <w:t>9.2 Observability &amp; Alerts</w:t>
      </w:r>
    </w:p>
    <w:p>
      <w:pPr>
        <w:pStyle w:val="Heading3"/>
      </w:pPr>
      <w:r>
        <w:rPr>
          <w:rFonts w:ascii="Calibri" w:hAnsi="Calibri"/>
          <w:color w:val="1B3A5C"/>
        </w:rPr>
        <w:t>Dashboards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Fleet by state: buffer healthy, tenant assigned, quarantined, recertifying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Detection-to-quarantine latency (P50, P95, P99)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Quarantine-to-recovery latency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Certification pass/fail rate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Repeat offender tracking (multi-node correlation)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Buffer sufficiency vs shortage events</w:t>
      </w:r>
    </w:p>
    <w:p>
      <w:pPr>
        <w:pStyle w:val="Heading3"/>
      </w:pPr>
      <w:r>
        <w:rPr>
          <w:rFonts w:ascii="Calibri" w:hAnsi="Calibri"/>
          <w:color w:val="1B3A5C"/>
        </w:rPr>
        <w:t>Alerts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Blocking taint/cordon applied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Certification failures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Multi-node failure correlation spikes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Consent toleration granted/used/expired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Buffer below threshold (exception mode activated)</w:t>
      </w:r>
    </w:p>
    <w:p>
      <w:pPr>
        <w:pStyle w:val="Heading2"/>
      </w:pPr>
      <w:r>
        <w:rPr>
          <w:rFonts w:ascii="Calibri" w:hAnsi="Calibri"/>
          <w:color w:val="1B3A5C"/>
        </w:rPr>
        <w:t>9.3 L1 Squad Daily Report Template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4824"/>
        <w:gridCol w:w="4824"/>
      </w:tblGrid>
      <w:tr>
        <w:tc>
          <w:tcPr>
            <w:tcW w:type="dxa" w:w="360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Report Item</w:t>
            </w:r>
          </w:p>
        </w:tc>
        <w:tc>
          <w:tcPr>
            <w:tcW w:type="dxa" w:w="648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Content</w:t>
            </w:r>
          </w:p>
        </w:tc>
      </w:tr>
      <w:tr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Unhealthy Nodes</w:t>
            </w:r>
          </w:p>
        </w:tc>
        <w:tc>
          <w:tcPr>
            <w:tcW w:type="dxa" w:w="64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hostname, fault category, owner, ETA for resolution</w:t>
            </w:r>
          </w:p>
        </w:tc>
      </w:tr>
      <w:tr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Returned to Fleet</w:t>
            </w:r>
          </w:p>
        </w:tc>
        <w:tc>
          <w:tcPr>
            <w:tcW w:type="dxa" w:w="64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Nodes returned to buffer in last 24 hours, cause summary</w:t>
            </w:r>
          </w:p>
        </w:tc>
      </w:tr>
      <w:tr>
        <w:tc>
          <w:tcPr>
            <w:tcW w:type="dxa" w:w="360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Escalated to Hardware/RMA</w:t>
            </w:r>
          </w:p>
        </w:tc>
        <w:tc>
          <w:tcPr>
            <w:tcW w:type="dxa" w:w="648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Nodes escalated, evidence package status, vendor ticket #</w:t>
            </w:r>
          </w:p>
        </w:tc>
      </w:tr>
      <w:tr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Buffer Health Summary</w:t>
            </w:r>
          </w:p>
        </w:tc>
        <w:tc>
          <w:tcPr>
            <w:tcW w:type="dxa" w:w="648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Current buffer size, utilization %, any exceptions active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10. Customer Impact</w:t>
      </w:r>
    </w:p>
    <w:p>
      <w:pPr>
        <w:pStyle w:val="Heading2"/>
      </w:pPr>
      <w:r>
        <w:rPr>
          <w:rFonts w:ascii="Calibri" w:hAnsi="Calibri"/>
          <w:color w:val="1B3A5C"/>
        </w:rPr>
        <w:t>10.1 Positive Impact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Fewer tenant-visible failures caused by bad hosts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Higher multi-node job success rate and fewer intermittent IB-related disruptions (Incident 5337 mitigation)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Faster quarantine of problematic nodes reduces repeat failures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Cleaner tenant isolation due to reimage + disk wipe in reassignment</w:t>
      </w:r>
    </w:p>
    <w:p>
      <w:pPr>
        <w:pStyle w:val="Heading2"/>
      </w:pPr>
      <w:r>
        <w:rPr>
          <w:rFonts w:ascii="Calibri" w:hAnsi="Calibri"/>
          <w:color w:val="1B3A5C"/>
        </w:rPr>
        <w:t>10.2 Tradeoffs &amp; Exception Handling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Stricter gating can temporarily reduce available capacity when buffer is constrained; exception mode must be explicit, audited, and time-bounded.</w:t>
      </w:r>
    </w:p>
    <w:p>
      <w:pPr>
        <w:pStyle w:val="ListBullet"/>
        <w:ind w:left="360"/>
      </w:pPr>
      <w:r>
        <w:rPr>
          <w:rFonts w:ascii="Calibri" w:hAnsi="Calibri"/>
          <w:color w:val="333333"/>
          <w:sz w:val="20"/>
        </w:rPr>
        <w:t>Conservative remediation (cordon/taint first) increases reliance on repair velocity in Phase 1; Phase 2 automation reduces recovery time and human toil.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Appendix A: Diagrams Index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216"/>
        <w:gridCol w:w="3216"/>
        <w:gridCol w:w="3216"/>
      </w:tblGrid>
      <w:tr>
        <w:tc>
          <w:tcPr>
            <w:tcW w:type="dxa" w:w="1728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Figure #</w:t>
            </w:r>
          </w:p>
        </w:tc>
        <w:tc>
          <w:tcPr>
            <w:tcW w:type="dxa" w:w="576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Title</w:t>
            </w:r>
          </w:p>
        </w:tc>
        <w:tc>
          <w:tcPr>
            <w:tcW w:type="dxa" w:w="2592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Section</w:t>
            </w:r>
          </w:p>
        </w:tc>
      </w:tr>
      <w:tr>
        <w:tc>
          <w:tcPr>
            <w:tcW w:type="dxa" w:w="1728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Figure 1</w:t>
            </w:r>
          </w:p>
        </w:tc>
        <w:tc>
          <w:tcPr>
            <w:tcW w:type="dxa" w:w="57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Healthy Fleet Maintenance — Four-Pillar Problem Space Overview</w:t>
            </w:r>
          </w:p>
        </w:tc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Section 1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Figure 2</w:t>
            </w:r>
          </w:p>
        </w:tc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NPD as a Platform — Multi-Team Contribution Model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Section 5.2</w:t>
            </w:r>
          </w:p>
        </w:tc>
      </w:tr>
      <w:tr>
        <w:tc>
          <w:tcPr>
            <w:tcW w:type="dxa" w:w="1728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Figure 3</w:t>
            </w:r>
          </w:p>
        </w:tc>
        <w:tc>
          <w:tcPr>
            <w:tcW w:type="dxa" w:w="57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 xml:space="preserve"> Detection → Enforcement → Recovery Workflow</w:t>
            </w:r>
          </w:p>
        </w:tc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Section 5.4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Figure 4</w:t>
            </w:r>
          </w:p>
        </w:tc>
        <w:tc>
          <w:tcPr>
            <w:tcW w:type="dxa" w:w="57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Lifecycle State Machine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Section 5.5</w:t>
            </w:r>
          </w:p>
        </w:tc>
      </w:tr>
      <w:tr>
        <w:tc>
          <w:tcPr>
            <w:tcW w:type="dxa" w:w="1728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Figure 5</w:t>
            </w:r>
          </w:p>
        </w:tc>
        <w:tc>
          <w:tcPr>
            <w:tcW w:type="dxa" w:w="57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Buffer Pool Strategy &amp; Fleet Availability Model</w:t>
            </w:r>
          </w:p>
        </w:tc>
        <w:tc>
          <w:tcPr>
            <w:tcW w:type="dxa" w:w="2592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Section 5.6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/>
          <w:color w:val="1B3A5C"/>
        </w:rPr>
        <w:t>Appendix B: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4824"/>
        <w:gridCol w:w="4824"/>
      </w:tblGrid>
      <w:tr>
        <w:tc>
          <w:tcPr>
            <w:tcW w:type="dxa" w:w="216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Term</w:t>
            </w:r>
          </w:p>
        </w:tc>
        <w:tc>
          <w:tcPr>
            <w:tcW w:type="dxa" w:w="7920"/>
            <w:shd w:fill="1B3A5C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</w:r>
            <w:r>
              <w:rPr>
                <w:rFonts w:ascii="Calibri" w:hAnsi="Calibri"/>
                <w:b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BCM</w:t>
            </w:r>
          </w:p>
        </w:tc>
        <w:tc>
          <w:tcPr>
            <w:tcW w:type="dxa" w:w="79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Bright Computing Manager — cluster management and provisioning platform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DCGM</w:t>
            </w:r>
          </w:p>
        </w:tc>
        <w:tc>
          <w:tcPr>
            <w:tcW w:type="dxa" w:w="79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NVIDIA Data Center GPU Manager — GPU monitoring and diagnostics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DCGMI</w:t>
            </w:r>
          </w:p>
        </w:tc>
        <w:tc>
          <w:tcPr>
            <w:tcW w:type="dxa" w:w="79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DCGM Interface — CLI tool for running GPU diagnostics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ECC</w:t>
            </w:r>
          </w:p>
        </w:tc>
        <w:tc>
          <w:tcPr>
            <w:tcW w:type="dxa" w:w="79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Error Correcting Code — memory error detection and correction mechanism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HCA</w:t>
            </w:r>
          </w:p>
        </w:tc>
        <w:tc>
          <w:tcPr>
            <w:tcW w:type="dxa" w:w="79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Host Channel Adapter — InfiniBand network interface card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IB</w:t>
            </w:r>
          </w:p>
        </w:tc>
        <w:tc>
          <w:tcPr>
            <w:tcW w:type="dxa" w:w="79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InfiniBand — high-performance, low-latency networking fabric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Multus</w:t>
            </w:r>
          </w:p>
        </w:tc>
        <w:tc>
          <w:tcPr>
            <w:tcW w:type="dxa" w:w="79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Kubernetes CNI plugin enabling multiple network interfaces per pod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NPD</w:t>
            </w:r>
          </w:p>
        </w:tc>
        <w:tc>
          <w:tcPr>
            <w:tcW w:type="dxa" w:w="79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Node Problem Detector — Kubernetes daemon for node health monitoring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NVMe</w:t>
            </w:r>
          </w:p>
        </w:tc>
        <w:tc>
          <w:tcPr>
            <w:tcW w:type="dxa" w:w="79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Non-Volatile Memory Express — storage interface protocol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RMA</w:t>
            </w:r>
          </w:p>
        </w:tc>
        <w:tc>
          <w:tcPr>
            <w:tcW w:type="dxa" w:w="79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Return Merchandise Authorization — hardware replacement process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RDMA</w:t>
            </w:r>
          </w:p>
        </w:tc>
        <w:tc>
          <w:tcPr>
            <w:tcW w:type="dxa" w:w="79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Remote Direct Memory Access — network data transfer technology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SR-IOV</w:t>
            </w:r>
          </w:p>
        </w:tc>
        <w:tc>
          <w:tcPr>
            <w:tcW w:type="dxa" w:w="79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Single Root I/O Virtualization — hardware virtualization for network devices</w:t>
            </w:r>
          </w:p>
        </w:tc>
      </w:tr>
      <w:tr>
        <w:tc>
          <w:tcPr>
            <w:tcW w:type="dxa" w:w="216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VF</w:t>
            </w:r>
          </w:p>
        </w:tc>
        <w:tc>
          <w:tcPr>
            <w:tcW w:type="dxa" w:w="7920"/>
            <w:shd w:fill="E8F0F8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Virtual Function — SR-IOV virtualized network interface</w:t>
            </w:r>
          </w:p>
        </w:tc>
      </w:tr>
      <w:tr>
        <w:tc>
          <w:tcPr>
            <w:tcW w:type="dxa" w:w="216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XID</w:t>
            </w:r>
          </w:p>
        </w:tc>
        <w:tc>
          <w:tcPr>
            <w:tcW w:type="dxa" w:w="7920"/>
            <w:shd w:fill="FFFFFF" w:val="clear"/>
          </w:tcPr>
          <w:p>
            <w:r>
              <w:rPr>
                <w:rFonts w:ascii="Calibri" w:hAnsi="Calibri"/>
                <w:color w:val="333333"/>
                <w:sz w:val="17"/>
              </w:rPr>
            </w:r>
            <w:r>
              <w:rPr>
                <w:rFonts w:ascii="Calibri" w:hAnsi="Calibri"/>
                <w:color w:val="333333"/>
                <w:sz w:val="17"/>
              </w:rPr>
              <w:t>NVIDIA GPU error identifier code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