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 to Certify Node is Healthy</w:t>
      </w:r>
    </w:p>
    <w:p>
      <w:pPr>
        <w:pStyle w:val="Subtitle"/>
      </w:pPr>
      <w:r>
        <w:t xml:space="preserve">NVIDIA</w:t>
      </w:r>
      <w:r>
        <w:t xml:space="preserve"> </w:t>
      </w:r>
      <w:r>
        <w:t xml:space="preserve">B200</w:t>
      </w:r>
      <w:r>
        <w:t xml:space="preserve"> </w:t>
      </w:r>
      <w:r>
        <w:t xml:space="preserve">GPU</w:t>
      </w:r>
      <w:r>
        <w:t xml:space="preserve"> </w:t>
      </w:r>
      <w:r>
        <w:t xml:space="preserve">Nodes</w:t>
      </w:r>
      <w:r>
        <w:t xml:space="preserve"> </w:t>
      </w:r>
      <w:r>
        <w:t xml:space="preserve">—</w:t>
      </w:r>
      <w:r>
        <w:t xml:space="preserve"> </w:t>
      </w:r>
      <w:r>
        <w:t xml:space="preserve">Bare</w:t>
      </w:r>
      <w:r>
        <w:t xml:space="preserve"> </w:t>
      </w:r>
      <w:r>
        <w:t xml:space="preserve">Metal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t xml:space="preserve">NVIDIA</w:t>
      </w:r>
      <w:r>
        <w:t xml:space="preserve"> </w:t>
      </w:r>
      <w:r>
        <w:t xml:space="preserve">Base</w:t>
      </w:r>
      <w:r>
        <w:t xml:space="preserve"> </w:t>
      </w:r>
      <w:r>
        <w:t xml:space="preserve">Command</w:t>
      </w:r>
      <w:r>
        <w:t xml:space="preserve"> </w:t>
      </w:r>
      <w:r>
        <w:t xml:space="preserve">Manager</w:t>
      </w:r>
    </w:p>
    <w:p>
      <w:pPr>
        <w:pStyle w:val="Date"/>
      </w:pPr>
      <w:r>
        <w:t xml:space="preserve">2026-02-12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-scope"/>
    <w:p>
      <w:pPr>
        <w:pStyle w:val="Heading1"/>
      </w:pPr>
      <w:r>
        <w:t xml:space="preserve">1. Purpose &amp; Scope</w:t>
      </w:r>
    </w:p>
    <w:p>
      <w:pPr>
        <w:pStyle w:val="FirstParagraph"/>
      </w:pPr>
      <w:r>
        <w:t xml:space="preserve">This SOP defines the certification process for</w:t>
      </w:r>
      <w:r>
        <w:t xml:space="preserve"> </w:t>
      </w:r>
      <w:r>
        <w:rPr>
          <w:bCs/>
          <w:b/>
        </w:rPr>
        <w:t xml:space="preserve">NVIDIA B200 GPU nodes</w:t>
      </w:r>
      <w:r>
        <w:t xml:space="preserve"> </w:t>
      </w:r>
      <w:r>
        <w:t xml:space="preserve">in a BMaaS environment managed by</w:t>
      </w:r>
      <w:r>
        <w:t xml:space="preserve"> </w:t>
      </w:r>
      <w:r>
        <w:rPr>
          <w:bCs/>
          <w:b/>
        </w:rPr>
        <w:t xml:space="preserve">NVIDIA Base Command Manager (BCM)</w:t>
      </w:r>
      <w:r>
        <w:t xml:space="preserve">. It covers Day Zero commissioning, Day Two continuous monitoring, and RMA recertification.</w:t>
      </w:r>
    </w:p>
    <w:p>
      <w:pPr>
        <w:pStyle w:val="BodyText"/>
      </w:pPr>
      <w:r>
        <w:rPr>
          <w:bCs/>
          <w:b/>
        </w:rPr>
        <w:t xml:space="preserve">Target Platform:</w:t>
      </w:r>
      <w:r>
        <w:t xml:space="preserve"> </w:t>
      </w:r>
      <w:r>
        <w:t xml:space="preserve">NVIDIA DGX/HGX B200 (Blackwell) — 8× B200 SXM, 192 GB HBM3e per GPU, NVLink5 (1.8 TB/s per GPU), 1000W TDP per GPU (liquid-cooled).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qualification before fleet 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BCM health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 Recert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Post-repair recertification → fleet re-admission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failure</w:t>
            </w:r>
          </w:p>
        </w:tc>
      </w:tr>
    </w:tbl>
    <w:bookmarkEnd w:id="20"/>
    <w:bookmarkStart w:id="29" w:name="day-zero-initial-commissioning"/>
    <w:p>
      <w:pPr>
        <w:pStyle w:val="Heading1"/>
      </w:pPr>
      <w:r>
        <w:t xml:space="preserve">2. Day Zero — Initial Commissioning</w:t>
      </w:r>
    </w:p>
    <w:bookmarkStart w:id="21" w:name="pre-flight-checks"/>
    <w:p>
      <w:pPr>
        <w:pStyle w:val="Heading2"/>
      </w:pPr>
      <w:r>
        <w:t xml:space="preserve">2.1 Pre-Flight Checks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Discovery (8× B200)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GPUs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/ CUDA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DCGM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systemctl status nvidia-dcgm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NVSwitch 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dcgmi discovery 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NVSwitches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Topology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topo 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GPUs via NVSwitch (SYS)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-q -d ECC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— all GPUs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(SBIOS, BMC, VBIOS)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nvfwupd show_version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fleet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nvsm show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InfiniBand (NDR 400G)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ports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PCIe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lspci -vvv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Gen5 x16, no downgrade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-pm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</w:tbl>
    <w:bookmarkEnd w:id="21"/>
    <w:bookmarkStart w:id="22" w:name="gpu-burn-in-test"/>
    <w:p>
      <w:pPr>
        <w:pStyle w:val="Heading2"/>
      </w:pPr>
      <w:r>
        <w:t xml:space="preserve">2.2 GPU Burn-In Test</w:t>
      </w:r>
    </w:p>
    <w:p>
      <w:pPr>
        <w:pStyle w:val="FirstParagraph"/>
      </w:pPr>
      <w:r>
        <w:t xml:space="preserve">BCM supports node burn-in via its node provisioning pipeline. Additionally,</w:t>
      </w:r>
      <w:r>
        <w:t xml:space="preserve"> </w:t>
      </w:r>
      <w:r>
        <w:rPr>
          <w:rStyle w:val="VerbatimChar"/>
        </w:rPr>
        <w:t xml:space="preserve">gpu_burn</w:t>
      </w:r>
      <w:r>
        <w:t xml:space="preserve"> </w:t>
      </w:r>
      <w:r>
        <w:t xml:space="preserve">is used for sustained GPU stress.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B200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gpu_burn</w:t>
            </w:r>
            <w:r>
              <w:t xml:space="preserve"> </w:t>
            </w:r>
            <w:r>
              <w:t xml:space="preserve">+ BCM burn-in (node provisioning)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hrs minimum</w:t>
            </w:r>
            <w:r>
              <w:t xml:space="preserve"> </w:t>
            </w:r>
            <w:r>
              <w:t xml:space="preserve">(12–24 hrs 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matrix multiply (FP64/FP32/TF32/FP8) — 100% 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gpu_burn -tc 21600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dmon -s pucvmet -d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70°C sustained (liquid-cooled B200)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1000W TDP per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 DBE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— any DBE = immediate 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XID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22"/>
    <w:bookmarkStart w:id="23" w:name="dcgm-level-4-stress"/>
    <w:p>
      <w:pPr>
        <w:pStyle w:val="Heading2"/>
      </w:pPr>
      <w:r>
        <w:t xml:space="preserve">2.3 DCGM Level 4 Stress</w:t>
      </w:r>
    </w:p>
    <w:p>
      <w:pPr>
        <w:pStyle w:val="FirstParagraph"/>
      </w:pPr>
      <w:r>
        <w:rPr>
          <w:rStyle w:val="VerbatimChar"/>
        </w:rPr>
        <w:t xml:space="preserve">dcgmi diag -r 4</w:t>
      </w:r>
      <w:r>
        <w:t xml:space="preserve"> </w:t>
      </w:r>
      <w:r>
        <w:t xml:space="preserve">— ~90 min, all GPUs idle, DCGM agent active.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Driver, libraries, DCGM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PCIe, NVLink, InfoROM, ECC, row remap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PCIe + NVLink5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 ≥ 90% of 1.8 TB/s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CUDA core throughput at max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GFLOPS, zero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Targeted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SM 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Targeted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delivery at 1000W TDP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Stable, zero throttle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HBM3e pattern test (192 GB per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memory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PSU transient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engines, data integrity, full HBM3e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Gate:</w:t>
      </w:r>
      <w:r>
        <w:t xml:space="preserve"> </w:t>
      </w:r>
      <w:r>
        <w:t xml:space="preserve">ALL plugins must report PASS.</w:t>
      </w:r>
    </w:p>
    <w:bookmarkEnd w:id="23"/>
    <w:bookmarkStart w:id="24" w:name="nccl-collective-performance"/>
    <w:p>
      <w:pPr>
        <w:pStyle w:val="Heading2"/>
      </w:pPr>
      <w:r>
        <w:t xml:space="preserve">2.4 NCCL Collective Performance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B200 Pass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All-Reduce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all_reduce_perf -b 8 -e 8G -f 2 -g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BusBW ≥ 1530 GB/s (85% of 1.8 TB/s)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All-Gather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all_gather_perf -b 8 -e 8G -f 2 -g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BusBW ≥ 1530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Reduce-Scatter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reduce_scatter_perf -b 8 -e 8G -f 2 -g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BusBW ≥ 1530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broadcast_perf -b 8 -e 8G -f 2 -g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BusBW ≥ 1530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mpirun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all_reduce_perf</w:t>
            </w:r>
            <w:r>
              <w:t xml:space="preserve"> </w:t>
            </w:r>
            <w:r>
              <w:t xml:space="preserve">(cross-node)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85% per-port IB line rate</w:t>
            </w:r>
          </w:p>
        </w:tc>
      </w:tr>
    </w:tbl>
    <w:bookmarkEnd w:id="24"/>
    <w:bookmarkStart w:id="25" w:name="hpl-hpl-mxp-benchmark"/>
    <w:p>
      <w:pPr>
        <w:pStyle w:val="Heading2"/>
      </w:pPr>
      <w:r>
        <w:t xml:space="preserve">2.5 HPL / HPL-MxP Benchmark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B200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HPL (FP64)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FP64 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 theoretical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HPL-MxP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70% theoretical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correctness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--ipc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host nvcr.io/nvidia/hpc-benchmarks:latest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mpirun </w:t>
      </w:r>
      <w:r>
        <w:rPr>
          <w:rStyle w:val="AttributeTok"/>
        </w:rPr>
        <w:t xml:space="preserve">--np</w:t>
      </w:r>
      <w:r>
        <w:rPr>
          <w:rStyle w:val="NormalTok"/>
        </w:rPr>
        <w:t xml:space="preserve"> 8 /workspace/hpl.sh </w:t>
      </w:r>
      <w:r>
        <w:rPr>
          <w:rStyle w:val="AttributeTok"/>
        </w:rPr>
        <w:t xml:space="preserve">--dat</w:t>
      </w:r>
      <w:r>
        <w:rPr>
          <w:rStyle w:val="NormalTok"/>
        </w:rPr>
        <w:t xml:space="preserve"> /workspace/hpl-linux-x86_64/sample-dat/HPL-dgx-8GPU.dat</w:t>
      </w:r>
    </w:p>
    <w:bookmarkEnd w:id="25"/>
    <w:bookmarkStart w:id="26" w:name="nvlink5-nvswitch-network"/>
    <w:p>
      <w:pPr>
        <w:pStyle w:val="Heading2"/>
      </w:pPr>
      <w:r>
        <w:t xml:space="preserve">2.6 NVLink5 / NVSwitch &amp; Network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B200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NVLink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nvlink --status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links active, NVLink5 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NVLink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nvidia-smi nvlink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CRC/replay/recovery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NVBandwidth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D2D ≥ 90% of 1.8 TB/s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NDR 400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RDMA 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ib_write_bw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 line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GPUDirect RDMA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Multi-node NCCL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85% per-port line rate</w:t>
            </w:r>
          </w:p>
        </w:tc>
      </w:tr>
    </w:tbl>
    <w:bookmarkEnd w:id="26"/>
    <w:bookmarkStart w:id="27" w:name="storage-system"/>
    <w:p>
      <w:pPr>
        <w:pStyle w:val="Heading2"/>
      </w:pPr>
      <w:r>
        <w:t xml:space="preserve">2.7 Storage &amp; System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NVMe SMART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nvme smart-log /dev/nvme*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 ≥ 80%, zero media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NVMe 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fio</w:t>
            </w:r>
            <w:r>
              <w:t xml:space="preserve"> </w:t>
            </w:r>
            <w:r>
              <w:t xml:space="preserve">(seq + random)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drive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Stress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stress-ng --cpu $(nproc) --timeout 1800s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failures, no MCEs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BMC Sensors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ipmitool sensor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ipmitool sdr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ipmitool sel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critical events</w:t>
            </w:r>
          </w:p>
        </w:tc>
      </w:tr>
    </w:tbl>
    <w:bookmarkEnd w:id="27"/>
    <w:bookmarkStart w:id="28" w:name="day-zero-gate"/>
    <w:p>
      <w:pPr>
        <w:pStyle w:val="Heading2"/>
      </w:pPr>
      <w:r>
        <w:t xml:space="preserve">2.8 Day Zero Gate</w:t>
      </w:r>
    </w:p>
    <w:p>
      <w:pPr>
        <w:pStyle w:val="FirstParagraph"/>
      </w:pPr>
      <w:r>
        <w:t xml:space="preserve">Node admitted</w:t>
      </w:r>
      <w:r>
        <w:t xml:space="preserve"> </w:t>
      </w:r>
      <w:r>
        <w:rPr>
          <w:bCs/>
          <w:b/>
        </w:rPr>
        <w:t xml:space="preserve">only if ALL pass:</w:t>
      </w:r>
      <w:r>
        <w:t xml:space="preserve"> </w:t>
      </w:r>
      <w:r>
        <w:t xml:space="preserve">Pre-Flight ✓ | Burn-In (≥6h, zero errors) ✓ | DCGM L4 (all PASS) ✓ | NCCL (≥85% BW) ✓ | HPL (≥70% FLOPS) ✓ | NVLink5 (healthy) ✓ | IB (active, ≥90% BW) ✓ | NVMe (healthy) ✓ | System (healthy) ✓</w:t>
      </w:r>
    </w:p>
    <w:p>
      <w:pPr>
        <w:pStyle w:val="BodyText"/>
      </w:pPr>
      <w:r>
        <w:t xml:space="preserve">Output: Certification record → node marked</w:t>
      </w:r>
      <w:r>
        <w:t xml:space="preserve"> </w:t>
      </w:r>
      <w:r>
        <w:rPr>
          <w:rStyle w:val="VerbatimChar"/>
        </w:rPr>
        <w:t xml:space="preserve">CERTIFIED</w:t>
      </w:r>
      <w:r>
        <w:t xml:space="preserve"> </w:t>
      </w:r>
      <w:r>
        <w:t xml:space="preserve">in BCM.</w:t>
      </w:r>
    </w:p>
    <w:bookmarkEnd w:id="28"/>
    <w:bookmarkEnd w:id="29"/>
    <w:bookmarkStart w:id="33" w:name="day-two-bcm-health-monitoring"/>
    <w:p>
      <w:pPr>
        <w:pStyle w:val="Heading1"/>
      </w:pPr>
      <w:r>
        <w:t xml:space="preserve">3. Day Two — BCM Health Monitoring</w:t>
      </w:r>
    </w:p>
    <w:bookmarkStart w:id="30" w:name="gpu-metrics-dcgm-via-bcm"/>
    <w:p>
      <w:pPr>
        <w:pStyle w:val="Heading2"/>
      </w:pPr>
      <w:r>
        <w:t xml:space="preserve">3.1 GPU Metrics (DCGM via BCM)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B200 Healthy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Temp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DCGM_FI_DEV_GPU_TEMP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70°C (liquid)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HBM Temp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DCGM_FI_DEV_MEMORY_TEMP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95°C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DCGM_FI_DEV_POWER_USAGE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1000W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DCGM_FI_DEV_SM_CLOCK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boost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 SBE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DCGM_FI_DEV_ECC_SBE_VOL_TOTAL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 DBE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DCGM_FI_DEV_ECC_DBE_VOL_TOTAL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be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Retired Pages (SBE)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DCGM_FI_DEV_RETIRED_SBE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Retired Pages (DBE)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DCGM_FI_DEV_RETIRED_DBE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be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Remap 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DCGM_FI_DEV_ROW_REMAP_FAILURE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 be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XID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DCGM_FI_DEV_XID_ERRORS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NVLink 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DCGM_FI_DEV_NVLINK_CRC_FLIT_ERROR_COUNT_TOTAL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Thermal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DCGM_FI_DEV_THERMAL_VIOLATION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DCGM_FI_DEV_POWER_VIOLATION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PCIe Replay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DCGM_FI_DEV_PCIE_REPLAY_COUNTER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/24h</w:t>
            </w:r>
          </w:p>
        </w:tc>
      </w:tr>
    </w:tbl>
    <w:bookmarkEnd w:id="30"/>
    <w:bookmarkStart w:id="31" w:name="system-metrics-alerts"/>
    <w:p>
      <w:pPr>
        <w:pStyle w:val="Heading2"/>
      </w:pPr>
      <w:r>
        <w:t xml:space="preserve">3.2 System Metrics &amp; Alerts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Inlet 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Coolant 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 / 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NVMe Spare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/24h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DBE, row remap fail, XID 48/63/64/79/94/95, GPU off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quarantine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SBE &gt; 0, retired pages nearing limit, NVLink 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within 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PCIe replay, NVMe spare &lt;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Track; weekly review</w:t>
            </w:r>
          </w:p>
        </w:tc>
      </w:tr>
    </w:tbl>
    <w:bookmarkEnd w:id="31"/>
    <w:bookmarkStart w:id="32" w:name="periodic-re-validation"/>
    <w:p>
      <w:pPr>
        <w:pStyle w:val="Heading2"/>
      </w:pPr>
      <w:r>
        <w:t xml:space="preserve">3.3 Periodic Re-Validation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dcgmi diag -r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dcgmi diag -r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dcgmi diag -r 4</w:t>
            </w:r>
            <w:r>
              <w:t xml:space="preserve"> </w:t>
            </w:r>
            <w:r>
              <w:t xml:space="preserve">+ NCCL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burn-in + HPL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hrs</w:t>
            </w:r>
          </w:p>
        </w:tc>
      </w:tr>
    </w:tbl>
    <w:bookmarkEnd w:id="32"/>
    <w:bookmarkEnd w:id="33"/>
    <w:bookmarkStart w:id="36" w:name="rma-lifecycle-recertification"/>
    <w:p>
      <w:pPr>
        <w:pStyle w:val="Heading1"/>
      </w:pPr>
      <w:r>
        <w:t xml:space="preserve">4. RMA Lifecycle &amp; Recertification</w:t>
      </w:r>
    </w:p>
    <w:bookmarkStart w:id="34" w:name="rma-flow"/>
    <w:p>
      <w:pPr>
        <w:pStyle w:val="Heading2"/>
      </w:pPr>
      <w:r>
        <w:t xml:space="preserve">4.1 RMA Flow</w:t>
      </w:r>
    </w:p>
    <w:p>
      <w:pPr>
        <w:pStyle w:val="FirstParagraph"/>
      </w:pPr>
      <w:r>
        <w:t xml:space="preserve">Fault (BCM Alert) →</w:t>
      </w:r>
      <w:r>
        <w:t xml:space="preserve"> </w:t>
      </w:r>
      <w:r>
        <w:rPr>
          <w:bCs/>
          <w:b/>
        </w:rPr>
        <w:t xml:space="preserve">Quarantine</w:t>
      </w:r>
      <w:r>
        <w:t xml:space="preserve"> </w:t>
      </w:r>
      <w:r>
        <w:t xml:space="preserve">node → Triage &amp; collect diagnostics →</w:t>
      </w:r>
      <w:r>
        <w:t xml:space="preserve"> </w:t>
      </w:r>
      <w:r>
        <w:rPr>
          <w:bCs/>
          <w:b/>
        </w:rPr>
        <w:t xml:space="preserve">RMA submission</w:t>
      </w:r>
      <w:r>
        <w:t xml:space="preserve"> </w:t>
      </w:r>
      <w:r>
        <w:t xml:space="preserve">to NVIDIA.</w:t>
      </w:r>
    </w:p>
    <w:p>
      <w:pPr>
        <w:pStyle w:val="BodyText"/>
      </w:pPr>
      <w:r>
        <w:rPr>
          <w:bCs/>
          <w:b/>
        </w:rPr>
        <w:t xml:space="preserve">Required RMA data:</w:t>
      </w:r>
      <w:r>
        <w:t xml:space="preserve"> </w:t>
      </w:r>
      <w:r>
        <w:rPr>
          <w:rStyle w:val="VerbatimChar"/>
        </w:rPr>
        <w:t xml:space="preserve">nvidia-bug-report.sh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dcgmi diag -r 4</w:t>
      </w:r>
      <w:r>
        <w:t xml:space="preserve">,</w:t>
      </w:r>
      <w:r>
        <w:t xml:space="preserve"> </w:t>
      </w:r>
      <w:r>
        <w:rPr>
          <w:rStyle w:val="VerbatimChar"/>
        </w:rPr>
        <w:t xml:space="preserve">nvsm show 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ipmitool sel 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(XIDs),</w:t>
      </w:r>
      <w:r>
        <w:t xml:space="preserve"> </w:t>
      </w:r>
      <w:r>
        <w:rPr>
          <w:rStyle w:val="VerbatimChar"/>
        </w:rPr>
        <w:t xml:space="preserve">fieldiag.log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nvidia-smi -q</w:t>
      </w:r>
      <w:r>
        <w:t xml:space="preserve">, GPU serial/part#,</w:t>
      </w:r>
      <w:r>
        <w:t xml:space="preserve"> </w:t>
      </w:r>
      <w:r>
        <w:rPr>
          <w:rStyle w:val="VerbatimChar"/>
        </w:rPr>
        <w:t xml:space="preserve">nvfwupd show_version</w:t>
      </w:r>
      <w:r>
        <w:t xml:space="preserve">.</w:t>
      </w:r>
    </w:p>
    <w:bookmarkEnd w:id="34"/>
    <w:bookmarkStart w:id="35" w:name="post-rma-recertification"/>
    <w:p>
      <w:pPr>
        <w:pStyle w:val="Heading2"/>
      </w:pPr>
      <w:r>
        <w:t xml:space="preserve">4.2 Post-RMA Recertification</w:t>
      </w:r>
    </w:p>
    <w:p>
      <w:pPr>
        <w:pStyle w:val="FirstParagraph"/>
      </w:pPr>
      <w:r>
        <w:t xml:space="preserve">Same test suite as Day Zero, plus extended soak: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Pre-Flight (§2.1)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Burn-In —</w:t>
            </w:r>
            <w:r>
              <w:t xml:space="preserve"> </w:t>
            </w:r>
            <w:r>
              <w:rPr>
                <w:bCs/>
                <w:b/>
              </w:rPr>
              <w:t xml:space="preserve">12 hrs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hrs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 Level 4 (§2.3)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(§2.4) + HPL (§2.5)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NVLink + Network (§2.6)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+ System (§2.7)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24-Hour Soak</w:t>
            </w:r>
            <w:r>
              <w:t xml:space="preserve"> </w:t>
            </w:r>
            <w:r>
              <w:t xml:space="preserve">under synthetic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hrs</w:t>
            </w:r>
          </w:p>
        </w:tc>
      </w:tr>
    </w:tbl>
    <w:p>
      <w:pPr>
        <w:pStyle w:val="BodyText"/>
      </w:pPr>
      <w:r>
        <w:rPr>
          <w:bCs/>
          <w:b/>
        </w:rPr>
        <w:t xml:space="preserve">Fleet Re-Admission:</w:t>
      </w:r>
      <w:r>
        <w:t xml:space="preserve"> </w:t>
      </w:r>
      <w:r>
        <w:t xml:space="preserve">All R1–R7 PASS + firmware matches fleet baseline + 24h soak with zero BCM alerts → node returned to</w:t>
      </w:r>
      <w:r>
        <w:t xml:space="preserve"> </w:t>
      </w:r>
      <w:r>
        <w:rPr>
          <w:rStyle w:val="VerbatimChar"/>
        </w:rPr>
        <w:t xml:space="preserve">CERTIFIED</w:t>
      </w:r>
      <w:r>
        <w:t xml:space="preserve"> </w:t>
      </w:r>
      <w:r>
        <w:t xml:space="preserve">in BCM.</w:t>
      </w:r>
    </w:p>
    <w:bookmarkEnd w:id="35"/>
    <w:bookmarkEnd w:id="36"/>
    <w:bookmarkStart w:id="37" w:name="certification-summary"/>
    <w:p>
      <w:pPr>
        <w:pStyle w:val="Heading1"/>
      </w:pPr>
      <w:r>
        <w:t xml:space="preserve">5. Certification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nvidia-smi, dcgmi, nvsm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gpu_burn / BCM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 B200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 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dcgmi -r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GPU, NVLink5, PCIe, HBM3e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NVLink5, NVSwitch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HPL (NGC)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compute + HBM3e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nvbandwidth, ibtools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NVLink5, NDR 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Storage/Sys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fio, stress-ng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NVMe, CPU, PSU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(DCGM+IPMI)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Recert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D0 + 24h soak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</w:t>
            </w:r>
          </w:p>
        </w:tc>
      </w:tr>
    </w:tbl>
    <w:bookmarkEnd w:id="37"/>
    <w:bookmarkStart w:id="38" w:name="appendix-a-nvidia-references"/>
    <w:p>
      <w:pPr>
        <w:pStyle w:val="Heading1"/>
      </w:pPr>
      <w:r>
        <w:t xml:space="preserve">Appendix A — NVIDIA References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https://docs.nvidia.com/datacenter/dcgm/latest/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DCGM Diagnostics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https://docs.nvidia.com/datacenter/dcgm/latest/dcgm-diagnostics/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Administrator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https://docs.nvidia.com/base-command-manager/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BCM Installation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https://docs.nvidia.com/base-command-manager-installation-guide/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DGX B200 Datasheet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https://www.nvidia.com/en-us/data-center/dgx-b200/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Tests (GitHub)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https://github.com/NVIDIA/nccl-tests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NVBandwidth (GitHub)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https://github.com/NVIDIA/nvbandwidth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HPL Benchmark (NGC)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https://catalog.ngc.nvidia.com/orgs/nvidia/containers/hpc-benchmarks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GPU Burn (GitHub)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https://github.com/wilicc/gpu-burn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Tesla RMA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https://docs.nvidia.com/deploy/tesla-rma-process/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NVSM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https://docs.nvidia.com/nvsm/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Firmware Update (nvfwupd)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https://docs.nvidia.com/dgx/nvfwupd-user-guide/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SOP-GPU-CERT-001 v1.1 | 2026-02-12 | Confidential — SLA Reference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  <w:szCs w:val="20"/>
    </w:rPr>
  </w:style>
  <w:style w:styleId="BodyText" w:type="paragraph">
    <w:name w:val="Body Text"/>
    <w:basedOn w:val="Normal"/>
    <w:link w:val="BodyTextChar"/>
    <w:pPr>
      <w:spacing w:after="6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6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8"/>
      <w:szCs w:val="18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jc w:val="center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 to Certify Node is Healthy</dc:title>
  <dc:creator/>
  <cp:keywords/>
  <dcterms:created xsi:type="dcterms:W3CDTF">2026-02-12T22:21:23Z</dcterms:created>
  <dcterms:modified xsi:type="dcterms:W3CDTF">2026-02-12T22:21:23Z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2026-02-12</vt:lpwstr>
  </property>
  <property fmtid="{D5CDD505-2E9C-101B-9397-08002B2CF9AE}" pid="3" name="subtitle">
    <vt:lpwstr>NVIDIA B200 GPU Nodes — Bare Metal as a Service via NVIDIA Base Command Manager</vt:lpwstr>
  </property>
  <property fmtid="{D5CDD505-2E9C-101B-9397-08002B2CF9AE}" pid="4" name="version">
    <vt:lpwstr>1.1</vt:lpwstr>
  </property>
</Properties>
</file>