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80"/>
        <w:jc w:val="center"/>
      </w:pPr>
      <w:r>
        <w:t>BMW Service Policy</w:t>
      </w:r>
    </w:p>
    <w:p>
      <w:r>
        <w:t>This sample policy explains how routine service, diagnostic visits, and repair approvals are handled. It is intended for use as reference content in a document based RAG assistant.</w:t>
      </w:r>
    </w:p>
    <w:p>
      <w:pPr>
        <w:pStyle w:val="Heading1"/>
      </w:pPr>
      <w:r>
        <w:t>Routine Maintenance</w:t>
      </w:r>
    </w:p>
    <w:p>
      <w:r>
        <w:t>Owners should follow the maintenance intervals shown by the vehicle service system and the applicable owner manual. Routine maintenance may include inspections, brake-fluid service, cabin-filter replacement, tyre checks, and software updates.</w:t>
      </w:r>
    </w:p>
    <w:p>
      <w:pPr>
        <w:pStyle w:val="Heading1"/>
      </w:pPr>
      <w:r>
        <w:t>Service Booking and Vehicle Intake</w:t>
      </w:r>
    </w:p>
    <w:p>
      <w:r>
        <w:t>Book a visit through an authorised BMW service centre. At intake, provide the vehicle identification number, current mileage, symptoms, warning messages, and any relevant photographs. The service adviser records the concern and confirms the planned diagnostic work.</w:t>
      </w:r>
    </w:p>
    <w:p>
      <w:pPr>
        <w:pStyle w:val="Heading1"/>
      </w:pPr>
      <w:r>
        <w:t>Diagnosis and Repair Approval</w:t>
      </w:r>
    </w:p>
    <w:p>
      <w:r>
        <w:t>The service centre performs diagnostic checks before beginning non-routine repairs. If chargeable work is required, the adviser provides an estimate and obtains customer approval before repair work starts. Emergency safety work may be prioritised when necessary to prevent further vehicle damage.</w:t>
      </w:r>
    </w:p>
    <w:p>
      <w:pPr>
        <w:pStyle w:val="Heading1"/>
      </w:pPr>
      <w:r>
        <w:t>Policy Summary</w:t>
      </w:r>
    </w:p>
    <w:tbl>
      <w:tblPr>
        <w:tblStyle w:val="TableGrid"/>
        <w:tblW w:type="auto" w:w="0"/>
        <w:tblLook w:firstColumn="1" w:firstRow="1" w:lastColumn="0" w:lastRow="0" w:noHBand="0" w:noVBand="1" w:val="04A0"/>
      </w:tblPr>
      <w:tblGrid>
        <w:gridCol w:w="4968"/>
        <w:gridCol w:w="4968"/>
      </w:tblGrid>
      <w:tr>
        <w:tc>
          <w:tcPr>
            <w:tcW w:type="dxa" w:w="4968"/>
          </w:tcPr>
          <w:p>
            <w:r>
              <w:t>Topic</w:t>
            </w:r>
          </w:p>
        </w:tc>
        <w:tc>
          <w:tcPr>
            <w:tcW w:type="dxa" w:w="4968"/>
          </w:tcPr>
          <w:p>
            <w:r>
              <w:t>Policy</w:t>
            </w:r>
          </w:p>
        </w:tc>
      </w:tr>
      <w:tr>
        <w:tc>
          <w:tcPr>
            <w:tcW w:type="dxa" w:w="4968"/>
          </w:tcPr>
          <w:p>
            <w:r>
              <w:t>Warranty work</w:t>
            </w:r>
          </w:p>
        </w:tc>
        <w:tc>
          <w:tcPr>
            <w:tcW w:type="dxa" w:w="4968"/>
          </w:tcPr>
          <w:p>
            <w:r>
              <w:t>Covered repairs require eligibility verification before parts are ordered.</w:t>
            </w:r>
          </w:p>
        </w:tc>
      </w:tr>
      <w:tr>
        <w:tc>
          <w:tcPr>
            <w:tcW w:type="dxa" w:w="4968"/>
          </w:tcPr>
          <w:p>
            <w:r>
              <w:t>Customer approval</w:t>
            </w:r>
          </w:p>
        </w:tc>
        <w:tc>
          <w:tcPr>
            <w:tcW w:type="dxa" w:w="4968"/>
          </w:tcPr>
          <w:p>
            <w:r>
              <w:t>Approval is required for chargeable repairs beyond the agreed diagnostic scope.</w:t>
            </w:r>
          </w:p>
        </w:tc>
      </w:tr>
      <w:tr>
        <w:tc>
          <w:tcPr>
            <w:tcW w:type="dxa" w:w="4968"/>
          </w:tcPr>
          <w:p>
            <w:r>
              <w:t>Service records</w:t>
            </w:r>
          </w:p>
        </w:tc>
        <w:tc>
          <w:tcPr>
            <w:tcW w:type="dxa" w:w="4968"/>
          </w:tcPr>
          <w:p>
            <w:r>
              <w:t>The service centre records work completed, parts used, and recommended follow-up actions.</w:t>
            </w:r>
          </w:p>
        </w:tc>
      </w:tr>
    </w:tbl>
    <w:p>
      <w:r>
        <w:t>This educational sample is not a replacement for the current BMW owner manual, warranty booklet, or local dealer terms.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