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23B66"/>
          <w:sz w:val="48"/>
        </w:rPr>
        <w:t>BMW Service and Roadside Policy</w:t>
      </w:r>
    </w:p>
    <w:p>
      <w:pPr>
        <w:jc w:val="center"/>
      </w:pPr>
      <w:r>
        <w:rPr>
          <w:i/>
        </w:rPr>
        <w:t>Training document for the RAG hands-on exercise</w:t>
      </w:r>
    </w:p>
    <w:p>
      <w:r>
        <w:t>This is a fictional training policy, not an official BMW publication.</w:t>
      </w:r>
    </w:p>
    <w:p>
      <w:pPr>
        <w:pStyle w:val="Heading1"/>
      </w:pPr>
      <w:r>
        <w:t>1. Routine service</w:t>
      </w:r>
    </w:p>
    <w:p>
      <w:r>
        <w:t>Routine service should be scheduled every 12 months or 15,000 kilometres, whichever occurs first. The vehicle condition indicator may request an earlier visit when operating conditions require it.</w:t>
      </w:r>
    </w:p>
    <w:p>
      <w:r>
        <w:t>Service must be performed by a qualified workshop. Keep invoices and digital service records because they may be requested during a warranty assessment.</w:t>
      </w:r>
    </w:p>
    <w:p>
      <w:pPr>
        <w:pStyle w:val="Heading1"/>
      </w:pPr>
      <w:r>
        <w:t>2. High-voltage warning procedure</w:t>
      </w:r>
    </w:p>
    <w:p>
      <w:r>
        <w:t>If a red high-voltage battery warning appears, stop the vehicle as soon as it is safe, switch off the drive system, move occupants to a safe location, and contact roadside assistance. Do not touch damaged orange high-voltage cables.</w:t>
      </w:r>
    </w:p>
    <w:p>
      <w:r>
        <w:t>A yellow battery warning allows cautious travel only when the vehicle reports that continued driving is permitted. Arrange an inspection without unnecessary delay.</w:t>
      </w:r>
    </w:p>
    <w:p>
      <w:pPr>
        <w:pStyle w:val="Heading1"/>
      </w:pPr>
      <w:r>
        <w:t>3. Roadside assistance</w:t>
      </w:r>
    </w:p>
    <w:p>
      <w:r>
        <w:t>Roadside assistance operates 24 hours a day in this training scenario. The driver should provide the vehicle identification number, precise location, warning message, contact telephone number, and a brief description of the incident.</w:t>
      </w:r>
    </w:p>
    <w:p>
      <w:r>
        <w:t>A high-voltage vehicle must be transported using an approved flatbed recovery vehicle. It must not be towed with the driven wheels on the road.</w:t>
      </w:r>
    </w:p>
    <w:p>
      <w:pPr>
        <w:pStyle w:val="Heading1"/>
      </w:pPr>
      <w:r>
        <w:t>4. Service priority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Condition</w:t>
            </w:r>
          </w:p>
        </w:tc>
        <w:tc>
          <w:tcPr>
            <w:tcW w:type="dxa" w:w="3264"/>
          </w:tcPr>
          <w:p>
            <w:r>
              <w:t>Priority</w:t>
            </w:r>
          </w:p>
        </w:tc>
        <w:tc>
          <w:tcPr>
            <w:tcW w:type="dxa" w:w="3264"/>
          </w:tcPr>
          <w:p>
            <w:r>
              <w:t>Required action</w:t>
            </w:r>
          </w:p>
        </w:tc>
      </w:tr>
      <w:tr>
        <w:tc>
          <w:tcPr>
            <w:tcW w:type="dxa" w:w="3264"/>
          </w:tcPr>
          <w:p>
            <w:r>
              <w:t>Red high-voltage warning</w:t>
            </w:r>
          </w:p>
        </w:tc>
        <w:tc>
          <w:tcPr>
            <w:tcW w:type="dxa" w:w="3264"/>
          </w:tcPr>
          <w:p>
            <w:r>
              <w:t>Critical</w:t>
            </w:r>
          </w:p>
        </w:tc>
        <w:tc>
          <w:tcPr>
            <w:tcW w:type="dxa" w:w="3264"/>
          </w:tcPr>
          <w:p>
            <w:r>
              <w:t>Stop safely and call roadside assistance</w:t>
            </w:r>
          </w:p>
        </w:tc>
      </w:tr>
      <w:tr>
        <w:tc>
          <w:tcPr>
            <w:tcW w:type="dxa" w:w="3264"/>
          </w:tcPr>
          <w:p>
            <w:r>
              <w:t>Yellow battery warning</w:t>
            </w:r>
          </w:p>
        </w:tc>
        <w:tc>
          <w:tcPr>
            <w:tcW w:type="dxa" w:w="3264"/>
          </w:tcPr>
          <w:p>
            <w:r>
              <w:t>High</w:t>
            </w:r>
          </w:p>
        </w:tc>
        <w:tc>
          <w:tcPr>
            <w:tcW w:type="dxa" w:w="3264"/>
          </w:tcPr>
          <w:p>
            <w:r>
              <w:t>Arrange inspection without unnecessary delay</w:t>
            </w:r>
          </w:p>
        </w:tc>
      </w:tr>
      <w:tr>
        <w:tc>
          <w:tcPr>
            <w:tcW w:type="dxa" w:w="3264"/>
          </w:tcPr>
          <w:p>
            <w:r>
              <w:t>Routine service reminder</w:t>
            </w:r>
          </w:p>
        </w:tc>
        <w:tc>
          <w:tcPr>
            <w:tcW w:type="dxa" w:w="3264"/>
          </w:tcPr>
          <w:p>
            <w:r>
              <w:t>Planned</w:t>
            </w:r>
          </w:p>
        </w:tc>
        <w:tc>
          <w:tcPr>
            <w:tcW w:type="dxa" w:w="3264"/>
          </w:tcPr>
          <w:p>
            <w:r>
              <w:t>Book service before the displayed due date</w:t>
            </w:r>
          </w:p>
        </w:tc>
      </w:tr>
    </w:tbl>
    <w:p>
      <w:pPr>
        <w:pStyle w:val="Heading1"/>
      </w:pPr>
      <w:r>
        <w:t>5. Information not covered</w:t>
      </w:r>
    </w:p>
    <w:p>
      <w:r>
        <w:t>This policy does not provide vehicle prices, dealership inventory, finance offers, insurance premiums, visa information, or live service appointment availability.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BMW RAG training sample - fictional policy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32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