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numId w:val="0"/>
        </w:numPr>
        <w:suppressLineNumbers w:val="0"/>
        <w:spacing w:line="480" w:lineRule="auto"/>
        <w:ind w:leftChars="0" w:right="0" w:rightChars="0"/>
        <w:jc w:val="center"/>
        <w:rPr>
          <w:rFonts w:hint="default" w:cs="Times New Roman" w:eastAsiaTheme="minorEastAsia"/>
          <w:b/>
          <w:bCs/>
          <w:kern w:val="0"/>
          <w:sz w:val="24"/>
          <w:szCs w:val="24"/>
          <w:lang w:val="en-US" w:eastAsia="zh-CN" w:bidi="ar-SA"/>
        </w:rPr>
      </w:pPr>
      <w:r>
        <w:rPr>
          <w:rFonts w:hint="default" w:cs="Times New Roman" w:eastAsiaTheme="minorEastAsia"/>
          <w:b/>
          <w:bCs/>
          <w:kern w:val="0"/>
          <w:sz w:val="24"/>
          <w:szCs w:val="24"/>
          <w:lang w:val="en-US" w:eastAsia="zh-CN" w:bidi="ar-SA"/>
        </w:rPr>
        <w:t>Annotated Bibliography</w:t>
      </w:r>
      <w:bookmarkStart w:id="0" w:name="_GoBack"/>
      <w:bookmarkEnd w:id="0"/>
    </w:p>
    <w:p>
      <w:pPr>
        <w:pStyle w:val="5"/>
        <w:keepNext w:val="0"/>
        <w:keepLines w:val="0"/>
        <w:widowControl/>
        <w:numPr>
          <w:ilvl w:val="0"/>
          <w:numId w:val="1"/>
        </w:numPr>
        <w:suppressLineNumbers w:val="0"/>
        <w:spacing w:line="480" w:lineRule="auto"/>
        <w:ind w:left="567" w:hanging="567"/>
        <w:rPr>
          <w:rFonts w:hint="default" w:cs="Times New Roman" w:eastAsiaTheme="minorEastAsia"/>
          <w:kern w:val="0"/>
          <w:sz w:val="22"/>
          <w:szCs w:val="22"/>
          <w:lang w:val="en-US" w:eastAsia="zh-CN" w:bidi="ar-SA"/>
        </w:rPr>
      </w:pPr>
      <w:r>
        <w:rPr>
          <w:rFonts w:hint="default" w:ascii="Times New Roman" w:hAnsi="Times New Roman" w:cs="Times New Roman"/>
          <w:sz w:val="22"/>
          <w:szCs w:val="22"/>
          <w:lang w:val="en-US"/>
        </w:rPr>
        <w:t>Ahmad, M. Shakil and Md. Shohel Parvez. "Online shopping behaviour and its impact on residential waste."</w:t>
      </w:r>
      <w:r>
        <w:rPr>
          <w:rFonts w:hint="default" w:ascii="Times New Roman" w:hAnsi="Times New Roman" w:cs="Times New Roman"/>
          <w:i/>
          <w:iCs/>
          <w:sz w:val="22"/>
          <w:szCs w:val="22"/>
          <w:lang w:val="en-US"/>
        </w:rPr>
        <w:t xml:space="preserve"> Waste Management &amp; Research</w:t>
      </w:r>
      <w:r>
        <w:rPr>
          <w:rFonts w:hint="default" w:ascii="Times New Roman" w:hAnsi="Times New Roman" w:cs="Times New Roman"/>
          <w:sz w:val="22"/>
          <w:szCs w:val="22"/>
          <w:lang w:val="en-US"/>
        </w:rPr>
        <w:t>, vol. 38, no. 9, SAGE Publications, September 2020, pp. 1044-1052. DOI:</w:t>
      </w:r>
      <w:r>
        <w:rPr>
          <w:rFonts w:hint="default" w:ascii="Times New Roman" w:hAnsi="Times New Roman" w:cs="Times New Roman"/>
          <w:color w:val="0000FF"/>
          <w:sz w:val="22"/>
          <w:szCs w:val="22"/>
          <w:lang w:val="en-US"/>
        </w:rPr>
        <w:t xml:space="preserve"> </w:t>
      </w:r>
      <w:r>
        <w:rPr>
          <w:rFonts w:hint="default" w:ascii="Times New Roman" w:hAnsi="Times New Roman" w:cs="Times New Roman"/>
          <w:color w:val="0000FF"/>
          <w:sz w:val="22"/>
          <w:szCs w:val="22"/>
          <w:lang w:val="en-US"/>
        </w:rPr>
        <w:fldChar w:fldCharType="begin"/>
      </w:r>
      <w:r>
        <w:rPr>
          <w:rFonts w:hint="default" w:ascii="Times New Roman" w:hAnsi="Times New Roman" w:cs="Times New Roman"/>
          <w:color w:val="0000FF"/>
          <w:sz w:val="22"/>
          <w:szCs w:val="22"/>
          <w:lang w:val="en-US"/>
        </w:rPr>
        <w:instrText xml:space="preserve"> HYPERLINK "https://doi.org/10.1177/0734242X20934167" \t "https://chat.openai.com/_new" </w:instrText>
      </w:r>
      <w:r>
        <w:rPr>
          <w:rFonts w:hint="default" w:ascii="Times New Roman" w:hAnsi="Times New Roman" w:cs="Times New Roman"/>
          <w:color w:val="0000FF"/>
          <w:sz w:val="22"/>
          <w:szCs w:val="22"/>
          <w:lang w:val="en-US"/>
        </w:rPr>
        <w:fldChar w:fldCharType="separate"/>
      </w:r>
      <w:r>
        <w:rPr>
          <w:rFonts w:hint="default" w:ascii="Times New Roman" w:hAnsi="Times New Roman" w:cs="Times New Roman"/>
          <w:color w:val="0000FF"/>
          <w:sz w:val="22"/>
          <w:szCs w:val="22"/>
          <w:lang w:val="en-US"/>
        </w:rPr>
        <w:t>https://doi.org/10.1177/0734242X20934167</w:t>
      </w:r>
      <w:r>
        <w:rPr>
          <w:rFonts w:hint="default" w:ascii="Times New Roman" w:hAnsi="Times New Roman" w:cs="Times New Roman"/>
          <w:color w:val="0000FF"/>
          <w:sz w:val="22"/>
          <w:szCs w:val="22"/>
          <w:lang w:val="en-US"/>
        </w:rPr>
        <w:fldChar w:fldCharType="end"/>
      </w:r>
      <w:r>
        <w:rPr>
          <w:rFonts w:hint="default" w:ascii="Times New Roman" w:hAnsi="Times New Roman" w:cs="Times New Roman"/>
          <w:sz w:val="22"/>
          <w:szCs w:val="22"/>
          <w:lang w:val="en-US"/>
        </w:rPr>
        <w:t>.</w:t>
      </w:r>
    </w:p>
    <w:p>
      <w:pPr>
        <w:pStyle w:val="5"/>
        <w:keepNext w:val="0"/>
        <w:keepLines w:val="0"/>
        <w:widowControl/>
        <w:suppressLineNumbers w:val="0"/>
        <w:spacing w:line="480" w:lineRule="auto"/>
        <w:jc w:val="both"/>
        <w:rPr>
          <w:rFonts w:hint="default" w:ascii="Times New Roman" w:hAnsi="Times New Roman" w:cs="Times New Roman" w:eastAsiaTheme="minorEastAsia"/>
          <w:kern w:val="0"/>
          <w:sz w:val="22"/>
          <w:szCs w:val="22"/>
          <w:lang w:val="en-US" w:eastAsia="zh-CN" w:bidi="ar-SA"/>
        </w:rPr>
      </w:pPr>
      <w:r>
        <w:rPr>
          <w:rFonts w:hint="default" w:cs="Times New Roman" w:eastAsiaTheme="minorEastAsia"/>
          <w:kern w:val="0"/>
          <w:sz w:val="22"/>
          <w:szCs w:val="22"/>
          <w:lang w:val="en-US" w:eastAsia="zh-CN" w:bidi="ar-SA"/>
        </w:rPr>
        <w:t>T</w:t>
      </w:r>
      <w:r>
        <w:rPr>
          <w:rFonts w:hint="default" w:ascii="Times New Roman" w:hAnsi="Times New Roman" w:cs="Times New Roman" w:eastAsiaTheme="minorEastAsia"/>
          <w:kern w:val="0"/>
          <w:sz w:val="22"/>
          <w:szCs w:val="22"/>
          <w:lang w:val="en-US" w:eastAsia="zh-CN" w:bidi="ar-SA"/>
        </w:rPr>
        <w:t>he study "Online shopping behavior and its impact on residential waste" provides insights into how online retailers, such as Sudarmonto, can help to reduce E-waste through packaging waste reduction strategies. By implementing eco-friendly packaging materials and optimizing packaging size, Sudarmonto was able to significantly reduce the amount of packaging waste produced by Bandung city. The paper also highlights the challenges faced by online retailers in reducing packaging waste and offers suggestions for future research and collaboration with suppliers and customers to develop more sustainable packaging solutions.</w:t>
      </w:r>
    </w:p>
    <w:p>
      <w:pPr>
        <w:pStyle w:val="5"/>
        <w:keepNext w:val="0"/>
        <w:keepLines w:val="0"/>
        <w:widowControl/>
        <w:numPr>
          <w:ilvl w:val="0"/>
          <w:numId w:val="1"/>
        </w:numPr>
        <w:suppressLineNumbers w:val="0"/>
        <w:spacing w:line="480" w:lineRule="auto"/>
        <w:ind w:left="567" w:leftChars="0" w:hanging="567" w:firstLineChars="0"/>
        <w:rPr>
          <w:sz w:val="22"/>
          <w:szCs w:val="22"/>
        </w:rPr>
      </w:pPr>
      <w:r>
        <w:rPr>
          <w:sz w:val="22"/>
          <w:szCs w:val="22"/>
        </w:rPr>
        <w:t xml:space="preserve">Allison, Ayşe L., et al. “Reducing Plastic Waste: A Meta-Analysis of Influences on Behaviour and Interventions.” </w:t>
      </w:r>
      <w:r>
        <w:rPr>
          <w:i/>
          <w:iCs/>
          <w:sz w:val="22"/>
          <w:szCs w:val="22"/>
        </w:rPr>
        <w:t>Journal of Cleaner Production</w:t>
      </w:r>
      <w:r>
        <w:rPr>
          <w:sz w:val="22"/>
          <w:szCs w:val="22"/>
        </w:rPr>
        <w:t xml:space="preserve">, vol. 380, 2022, p. 134860., </w:t>
      </w:r>
      <w:r>
        <w:rPr>
          <w:sz w:val="22"/>
          <w:szCs w:val="22"/>
        </w:rPr>
        <w:fldChar w:fldCharType="begin"/>
      </w:r>
      <w:r>
        <w:rPr>
          <w:sz w:val="22"/>
          <w:szCs w:val="22"/>
        </w:rPr>
        <w:instrText xml:space="preserve"> HYPERLINK "https://doi.org/10.1016/j.jclepro.2022.134860" </w:instrText>
      </w:r>
      <w:r>
        <w:rPr>
          <w:sz w:val="22"/>
          <w:szCs w:val="22"/>
        </w:rPr>
        <w:fldChar w:fldCharType="separate"/>
      </w:r>
      <w:r>
        <w:rPr>
          <w:rStyle w:val="4"/>
          <w:sz w:val="22"/>
          <w:szCs w:val="22"/>
        </w:rPr>
        <w:t>https://doi.org/10.1016/j.jclepro.2022.134860</w:t>
      </w:r>
      <w:r>
        <w:rPr>
          <w:sz w:val="22"/>
          <w:szCs w:val="22"/>
        </w:rPr>
        <w:fldChar w:fldCharType="end"/>
      </w:r>
      <w:r>
        <w:rPr>
          <w:sz w:val="22"/>
          <w:szCs w:val="22"/>
        </w:rPr>
        <w:t xml:space="preserve">. </w:t>
      </w:r>
    </w:p>
    <w:p>
      <w:pPr>
        <w:pStyle w:val="5"/>
        <w:keepNext w:val="0"/>
        <w:keepLines w:val="0"/>
        <w:widowControl/>
        <w:suppressLineNumbers w:val="0"/>
        <w:spacing w:line="480" w:lineRule="auto"/>
        <w:jc w:val="both"/>
        <w:rPr>
          <w:rFonts w:hint="default" w:cs="Times New Roman" w:eastAsiaTheme="minorEastAsia"/>
          <w:kern w:val="0"/>
          <w:sz w:val="22"/>
          <w:szCs w:val="22"/>
          <w:lang w:val="en-US" w:eastAsia="zh-CN" w:bidi="ar-SA"/>
        </w:rPr>
      </w:pPr>
      <w:r>
        <w:rPr>
          <w:rFonts w:hint="default" w:cs="Times New Roman" w:eastAsiaTheme="minorEastAsia"/>
          <w:kern w:val="0"/>
          <w:sz w:val="22"/>
          <w:szCs w:val="22"/>
          <w:lang w:val="en-US" w:eastAsia="zh-CN" w:bidi="ar-SA"/>
        </w:rPr>
        <w:t>The study on "reducing plastic waste" sheds light on the potential for reducing e-waste produced through online shopping by identifying effective interventions and behavior change techniques. The study highlights the importance of targeting specific behaviors such as recycling and online shopping and identified effective policy options for reducing plastic waste. By utilizing effective behavior change techniques and targeting specific behaviors, companies and individuals can reduce their impact on the environment and move towards a more sustainable future.</w:t>
      </w:r>
    </w:p>
    <w:p>
      <w:pPr>
        <w:pStyle w:val="5"/>
        <w:keepNext w:val="0"/>
        <w:keepLines w:val="0"/>
        <w:widowControl/>
        <w:numPr>
          <w:ilvl w:val="0"/>
          <w:numId w:val="1"/>
        </w:numPr>
        <w:suppressLineNumbers w:val="0"/>
        <w:spacing w:line="480" w:lineRule="auto"/>
        <w:ind w:left="567" w:leftChars="0" w:hanging="567" w:firstLineChars="0"/>
        <w:rPr>
          <w:rFonts w:hint="default" w:cs="Times New Roman" w:eastAsiaTheme="minorEastAsia"/>
          <w:kern w:val="0"/>
          <w:sz w:val="22"/>
          <w:szCs w:val="22"/>
          <w:lang w:val="en-US" w:eastAsia="zh-CN" w:bidi="ar-SA"/>
        </w:rPr>
      </w:pPr>
      <w:r>
        <w:rPr>
          <w:rFonts w:hint="default" w:ascii="Times New Roman" w:hAnsi="Times New Roman" w:cs="Times New Roman"/>
          <w:sz w:val="22"/>
          <w:szCs w:val="22"/>
          <w:lang w:val="en-US"/>
        </w:rPr>
        <w:t xml:space="preserve">Badurdeen, Fazleena, Anuj Mittal, and Timothy J. Jacobson. "Exploring the Emerging Trends of Reusable Packaging." </w:t>
      </w:r>
      <w:r>
        <w:rPr>
          <w:rFonts w:hint="default" w:ascii="Times New Roman" w:hAnsi="Times New Roman" w:cs="Times New Roman"/>
          <w:i/>
          <w:iCs/>
          <w:sz w:val="22"/>
          <w:szCs w:val="22"/>
          <w:lang w:val="en-US"/>
        </w:rPr>
        <w:t>Journal of Cleaner Production</w:t>
      </w:r>
      <w:r>
        <w:rPr>
          <w:rFonts w:hint="default" w:ascii="Times New Roman" w:hAnsi="Times New Roman" w:cs="Times New Roman"/>
          <w:sz w:val="22"/>
          <w:szCs w:val="22"/>
          <w:lang w:val="en-US"/>
        </w:rPr>
        <w:t xml:space="preserve">, vol. 249, Elsevier, March 2020, DOI: </w:t>
      </w:r>
      <w:r>
        <w:rPr>
          <w:rFonts w:hint="default" w:ascii="Times New Roman" w:hAnsi="Times New Roman" w:cs="Times New Roman"/>
          <w:color w:val="0000FF"/>
          <w:sz w:val="22"/>
          <w:szCs w:val="22"/>
          <w:lang w:val="en-US"/>
        </w:rPr>
        <w:fldChar w:fldCharType="begin"/>
      </w:r>
      <w:r>
        <w:rPr>
          <w:rFonts w:hint="default" w:ascii="Times New Roman" w:hAnsi="Times New Roman" w:cs="Times New Roman"/>
          <w:color w:val="0000FF"/>
          <w:sz w:val="22"/>
          <w:szCs w:val="22"/>
          <w:lang w:val="en-US"/>
        </w:rPr>
        <w:instrText xml:space="preserve"> HYPERLINK "https://doi.org/10.1016/j.jclepro.2019.119406" \t "https://chat.openai.com/_new" </w:instrText>
      </w:r>
      <w:r>
        <w:rPr>
          <w:rFonts w:hint="default" w:ascii="Times New Roman" w:hAnsi="Times New Roman" w:cs="Times New Roman"/>
          <w:color w:val="0000FF"/>
          <w:sz w:val="22"/>
          <w:szCs w:val="22"/>
          <w:lang w:val="en-US"/>
        </w:rPr>
        <w:fldChar w:fldCharType="separate"/>
      </w:r>
      <w:r>
        <w:rPr>
          <w:rFonts w:hint="default" w:ascii="Times New Roman" w:hAnsi="Times New Roman" w:cs="Times New Roman"/>
          <w:color w:val="0000FF"/>
          <w:sz w:val="22"/>
          <w:szCs w:val="22"/>
          <w:lang w:val="en-US"/>
        </w:rPr>
        <w:t>https://doi.org/10.1016/j.jclepro.2019.119406</w:t>
      </w:r>
      <w:r>
        <w:rPr>
          <w:rFonts w:hint="default" w:ascii="Times New Roman" w:hAnsi="Times New Roman" w:cs="Times New Roman"/>
          <w:color w:val="0000FF"/>
          <w:sz w:val="22"/>
          <w:szCs w:val="22"/>
          <w:lang w:val="en-US"/>
        </w:rPr>
        <w:fldChar w:fldCharType="end"/>
      </w:r>
      <w:r>
        <w:rPr>
          <w:rFonts w:hint="default" w:ascii="Times New Roman" w:hAnsi="Times New Roman" w:cs="Times New Roman"/>
          <w:sz w:val="22"/>
          <w:szCs w:val="22"/>
          <w:lang w:val="en-US"/>
        </w:rPr>
        <w:t>.</w:t>
      </w:r>
    </w:p>
    <w:p>
      <w:pPr>
        <w:pStyle w:val="5"/>
        <w:keepNext w:val="0"/>
        <w:keepLines w:val="0"/>
        <w:widowControl/>
        <w:suppressLineNumbers w:val="0"/>
        <w:spacing w:line="48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article "Exploring the Emerging Trends of Reusable Packaging" is closely related to reducing e-waste by highlighting the environmental and economic advantages of reusable packaging. Reusable packaging systems can help reduce waste and save money for businesses, ultimately leading to a more sustainable future. However, Lahandi also acknowledges the challenges that must be overcome for widespread adoption of reusable packaging, such as the need for infrastructure and changes in consumer behavior. By emphasizing the importance of continued innovation and collaboration, this article encourages businesses to consider implementing reusable packaging systems to help reduce e-waste.</w:t>
      </w:r>
    </w:p>
    <w:p>
      <w:pPr>
        <w:pStyle w:val="5"/>
        <w:keepNext w:val="0"/>
        <w:keepLines w:val="0"/>
        <w:widowControl/>
        <w:numPr>
          <w:ilvl w:val="0"/>
          <w:numId w:val="1"/>
        </w:numPr>
        <w:suppressLineNumbers w:val="0"/>
        <w:spacing w:line="480" w:lineRule="auto"/>
        <w:ind w:left="567" w:leftChars="0" w:right="0" w:rightChars="0" w:hanging="567"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Gupta, Rahul. "Sustainable Green Supply Chain Management Trends, Practices, and</w:t>
      </w:r>
      <w:r>
        <w:rPr>
          <w:rFonts w:hint="default" w:cs="Times New Roman"/>
          <w:sz w:val="22"/>
          <w:szCs w:val="22"/>
          <w:lang w:val="en-US"/>
        </w:rPr>
        <w:t xml:space="preserve"> </w:t>
      </w:r>
      <w:r>
        <w:rPr>
          <w:rFonts w:hint="default" w:ascii="Times New Roman" w:hAnsi="Times New Roman" w:cs="Times New Roman"/>
          <w:sz w:val="22"/>
          <w:szCs w:val="22"/>
          <w:lang w:val="en-US"/>
        </w:rPr>
        <w:t>Performance." </w:t>
      </w:r>
      <w:r>
        <w:rPr>
          <w:rFonts w:hint="default" w:ascii="Times New Roman" w:hAnsi="Times New Roman" w:cs="Times New Roman"/>
          <w:i/>
          <w:iCs/>
          <w:sz w:val="22"/>
          <w:szCs w:val="22"/>
          <w:lang w:val="en-US"/>
        </w:rPr>
        <w:t>Handbook of Research on Supply Chain Resiliency, Efficiency, and Visibility in the Post-Pandemic Era</w:t>
      </w:r>
      <w:r>
        <w:rPr>
          <w:rFonts w:hint="default" w:ascii="Times New Roman" w:hAnsi="Times New Roman" w:cs="Times New Roman"/>
          <w:sz w:val="22"/>
          <w:szCs w:val="22"/>
          <w:lang w:val="en-US"/>
        </w:rPr>
        <w:t>, edited by Yanamandra Ramakrishna, IGI Global, 2022, pp. 443-465.</w:t>
      </w:r>
      <w:r>
        <w:rPr>
          <w:rFonts w:hint="default" w:ascii="Times New Roman" w:hAnsi="Times New Roman" w:cs="Times New Roman"/>
          <w:color w:val="0000FF"/>
          <w:sz w:val="22"/>
          <w:szCs w:val="22"/>
          <w:lang w:val="en-US"/>
        </w:rPr>
        <w:t xml:space="preserve"> https://doi.org/10.4018/978-1-7998-9506-0.ch022</w:t>
      </w:r>
    </w:p>
    <w:p>
      <w:pPr>
        <w:pStyle w:val="5"/>
        <w:keepNext w:val="0"/>
        <w:keepLines w:val="0"/>
        <w:widowControl/>
        <w:suppressLineNumbers w:val="0"/>
        <w:spacing w:line="48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adoption of green supply chain management (GSCM) practices is closely related to reducing E-waste. GSCM practices encourage organizations to work with all stakeholders to identify and understand opportunities for supporting green practices, which can mitigate the hazards of global warming and climate change. By integrating sustainable environmental progressions into processes like selecting suppliers who ensure green manufacturing, buying green raw materials, and designing and distributing products with reverse logistics, stakeholders are committed to reducing, reusing, redesigning, and recycling products in support of waste reduction and sustainable environmental protection.</w:t>
      </w:r>
    </w:p>
    <w:p>
      <w:pPr>
        <w:pStyle w:val="5"/>
        <w:keepNext w:val="0"/>
        <w:keepLines w:val="0"/>
        <w:widowControl/>
        <w:numPr>
          <w:ilvl w:val="0"/>
          <w:numId w:val="1"/>
        </w:numPr>
        <w:suppressLineNumbers w:val="0"/>
        <w:spacing w:line="480" w:lineRule="auto"/>
        <w:ind w:left="567" w:leftChars="0" w:hanging="567" w:firstLineChars="0"/>
        <w:rPr>
          <w:rFonts w:hint="default" w:ascii="Times New Roman" w:hAnsi="Times New Roman" w:cs="Times New Roman"/>
          <w:b/>
          <w:bCs/>
          <w:sz w:val="22"/>
          <w:szCs w:val="22"/>
          <w:lang w:val="en-US"/>
        </w:rPr>
      </w:pPr>
      <w:r>
        <w:rPr>
          <w:rFonts w:hint="default" w:ascii="Times New Roman" w:hAnsi="Times New Roman" w:cs="Times New Roman"/>
          <w:sz w:val="22"/>
          <w:szCs w:val="22"/>
          <w:lang w:val="en-US"/>
        </w:rPr>
        <w:t xml:space="preserve">Li, Xiaoyan, Jun Zhu, Wenjing Huang, and Shouyang Wang. "Optimal delivery strategies for packing box recycling in online platforms." </w:t>
      </w:r>
      <w:r>
        <w:rPr>
          <w:rFonts w:hint="default" w:ascii="Times New Roman" w:hAnsi="Times New Roman" w:cs="Times New Roman"/>
          <w:i/>
          <w:iCs/>
          <w:sz w:val="22"/>
          <w:szCs w:val="22"/>
          <w:lang w:val="en-US"/>
        </w:rPr>
        <w:t>Journal of Cleaner Production</w:t>
      </w:r>
      <w:r>
        <w:rPr>
          <w:rFonts w:hint="default" w:ascii="Times New Roman" w:hAnsi="Times New Roman" w:cs="Times New Roman"/>
          <w:sz w:val="22"/>
          <w:szCs w:val="22"/>
          <w:lang w:val="en-US"/>
        </w:rPr>
        <w:t xml:space="preserve">, vol. 313, 2021, p. 128456. DOI: </w:t>
      </w:r>
      <w:r>
        <w:rPr>
          <w:rFonts w:hint="default" w:ascii="Times New Roman" w:hAnsi="Times New Roman" w:cs="Times New Roman"/>
          <w:color w:val="0000FF"/>
          <w:sz w:val="22"/>
          <w:szCs w:val="22"/>
          <w:lang w:val="en-US"/>
        </w:rPr>
        <w:t>10.1016/j.jclepro.2021.128456.</w:t>
      </w:r>
    </w:p>
    <w:p>
      <w:pPr>
        <w:pStyle w:val="5"/>
        <w:keepNext w:val="0"/>
        <w:keepLines w:val="0"/>
        <w:widowControl/>
        <w:numPr>
          <w:ilvl w:val="0"/>
          <w:numId w:val="0"/>
        </w:numPr>
        <w:suppressLineNumbers w:val="0"/>
        <w:spacing w:line="480" w:lineRule="auto"/>
        <w:ind w:leftChars="0" w:right="0" w:rightChars="0"/>
        <w:jc w:val="both"/>
        <w:rPr>
          <w:rFonts w:hint="default" w:ascii="Times New Roman" w:hAnsi="Times New Roman"/>
          <w:sz w:val="22"/>
          <w:szCs w:val="22"/>
          <w:lang w:val="en-US"/>
        </w:rPr>
      </w:pPr>
      <w:r>
        <w:rPr>
          <w:rFonts w:hint="default" w:ascii="Times New Roman" w:hAnsi="Times New Roman"/>
          <w:sz w:val="22"/>
          <w:szCs w:val="22"/>
          <w:lang w:val="en-US"/>
        </w:rPr>
        <w:t>The data suggests that retail platforms can reduce online packing waste by adopting delivery models that are more environmentally friendly. The study identifies the HD and EL models as being more beneficial to the environment as they make it easier for consumers to recycle packing boxes. Retail platforms can use this information to develop effective strategies, such as offering incentives and convenient recycling options, to encourage customers to recycle packing boxes and reduce environmental pollution.</w:t>
      </w:r>
    </w:p>
    <w:p>
      <w:pPr>
        <w:pStyle w:val="5"/>
        <w:keepNext w:val="0"/>
        <w:keepLines w:val="0"/>
        <w:widowControl/>
        <w:numPr>
          <w:ilvl w:val="0"/>
          <w:numId w:val="1"/>
        </w:numPr>
        <w:suppressLineNumbers w:val="0"/>
        <w:spacing w:line="480" w:lineRule="auto"/>
        <w:ind w:left="567" w:leftChars="0" w:hanging="567" w:firstLineChars="0"/>
        <w:rPr>
          <w:rFonts w:hint="default" w:ascii="Times New Roman" w:hAnsi="Times New Roman" w:cs="Times New Roman"/>
          <w:sz w:val="22"/>
          <w:szCs w:val="22"/>
        </w:rPr>
      </w:pPr>
      <w:r>
        <w:rPr>
          <w:sz w:val="22"/>
          <w:szCs w:val="22"/>
        </w:rPr>
        <w:t xml:space="preserve">Kavitha, S., et al. “Development of Fabric Wrap for Packaging in e-Commerce as an </w:t>
      </w:r>
      <w:r>
        <w:rPr>
          <w:rFonts w:hint="default"/>
          <w:sz w:val="22"/>
          <w:szCs w:val="22"/>
          <w:lang w:val="en-US"/>
        </w:rPr>
        <w:tab/>
      </w:r>
      <w:r>
        <w:rPr>
          <w:sz w:val="22"/>
          <w:szCs w:val="22"/>
        </w:rPr>
        <w:t xml:space="preserve">Alternative to Plastic Bubble Sheet.” </w:t>
      </w:r>
      <w:r>
        <w:rPr>
          <w:i/>
          <w:iCs/>
          <w:sz w:val="22"/>
          <w:szCs w:val="22"/>
        </w:rPr>
        <w:t xml:space="preserve">THE 8TH ANNUAL INTERNATIONAL </w:t>
      </w:r>
      <w:r>
        <w:rPr>
          <w:rFonts w:hint="default"/>
          <w:i/>
          <w:iCs/>
          <w:sz w:val="22"/>
          <w:szCs w:val="22"/>
          <w:lang w:val="en-US"/>
        </w:rPr>
        <w:tab/>
      </w:r>
      <w:r>
        <w:rPr>
          <w:i/>
          <w:iCs/>
          <w:sz w:val="22"/>
          <w:szCs w:val="22"/>
        </w:rPr>
        <w:t>SEMINAR ON TRENDS IN SCIENCE AND SCIENCE EDUCATION (AISTSSE) 2021</w:t>
      </w:r>
      <w:r>
        <w:rPr>
          <w:sz w:val="22"/>
          <w:szCs w:val="22"/>
        </w:rPr>
        <w:t xml:space="preserve">, </w:t>
      </w:r>
      <w:r>
        <w:rPr>
          <w:rFonts w:hint="default"/>
          <w:sz w:val="22"/>
          <w:szCs w:val="22"/>
          <w:lang w:val="en-US"/>
        </w:rPr>
        <w:tab/>
      </w:r>
      <w:r>
        <w:rPr>
          <w:sz w:val="22"/>
          <w:szCs w:val="22"/>
        </w:rPr>
        <w:t>2022,</w:t>
      </w:r>
      <w:r>
        <w:rPr>
          <w:rFonts w:hint="default" w:ascii="Times New Roman" w:hAnsi="Times New Roman" w:cs="Times New Roman"/>
          <w:color w:val="0000FF"/>
          <w:sz w:val="22"/>
          <w:szCs w:val="22"/>
        </w:rPr>
        <w:fldChar w:fldCharType="begin"/>
      </w:r>
      <w:r>
        <w:rPr>
          <w:rFonts w:hint="default" w:ascii="Times New Roman" w:hAnsi="Times New Roman" w:cs="Times New Roman"/>
          <w:color w:val="0000FF"/>
          <w:sz w:val="22"/>
          <w:szCs w:val="22"/>
        </w:rPr>
        <w:instrText xml:space="preserve"> HYPERLINK " https:/doi.org/10.1063/5.0109663" </w:instrText>
      </w:r>
      <w:r>
        <w:rPr>
          <w:rFonts w:hint="default" w:ascii="Times New Roman" w:hAnsi="Times New Roman" w:cs="Times New Roman"/>
          <w:color w:val="0000FF"/>
          <w:sz w:val="22"/>
          <w:szCs w:val="22"/>
        </w:rPr>
        <w:fldChar w:fldCharType="separate"/>
      </w:r>
      <w:r>
        <w:rPr>
          <w:rFonts w:hint="default" w:ascii="Times New Roman" w:hAnsi="Times New Roman" w:cs="Times New Roman"/>
          <w:color w:val="0000FF"/>
          <w:sz w:val="22"/>
          <w:szCs w:val="22"/>
        </w:rPr>
        <w:t xml:space="preserve"> https://doi.org/10.1063/5.0109663</w:t>
      </w:r>
      <w:r>
        <w:rPr>
          <w:rFonts w:hint="default" w:ascii="Times New Roman" w:hAnsi="Times New Roman" w:cs="Times New Roman"/>
          <w:color w:val="0000FF"/>
          <w:sz w:val="22"/>
          <w:szCs w:val="22"/>
        </w:rPr>
        <w:fldChar w:fldCharType="end"/>
      </w:r>
      <w:r>
        <w:rPr>
          <w:rFonts w:hint="default" w:ascii="Times New Roman" w:hAnsi="Times New Roman" w:cs="Times New Roman"/>
          <w:color w:val="0000FF"/>
          <w:sz w:val="22"/>
          <w:szCs w:val="22"/>
        </w:rPr>
        <w:t>.</w:t>
      </w:r>
      <w:r>
        <w:rPr>
          <w:rFonts w:hint="default" w:ascii="Times New Roman" w:hAnsi="Times New Roman" w:cs="Times New Roman"/>
          <w:sz w:val="22"/>
          <w:szCs w:val="22"/>
        </w:rPr>
        <w:t xml:space="preserve"> </w:t>
      </w:r>
    </w:p>
    <w:p>
      <w:pPr>
        <w:pStyle w:val="5"/>
        <w:keepNext w:val="0"/>
        <w:keepLines w:val="0"/>
        <w:widowControl/>
        <w:suppressLineNumbers w:val="0"/>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eastAsia="zh-CN"/>
        </w:rPr>
        <w:t>The paper on "Development of fabric wrap for packaging in E-commerce as an alternative to plastic bubble sheet" is focused on finding sustainable alternatives to plastic packaging materials that contribute to online packing waste. By promoting the use of environmentally friendly materials such as corrugated bubble sheets, green wrap, and indented Kraft paper, the amount of waste generated by online shopping can be reduced. Consumers can also contribute to reducing online packing waste by choosing to shop from companies that prioritize sustainable packaging and reusing or recycling packaging materials</w:t>
      </w:r>
      <w:r>
        <w:rPr>
          <w:rFonts w:hint="default" w:ascii="Times New Roman" w:hAnsi="Times New Roman" w:cs="Times New Roman"/>
          <w:sz w:val="22"/>
          <w:szCs w:val="22"/>
          <w:lang w:val="en-US"/>
        </w:rPr>
        <w:t>.</w:t>
      </w:r>
    </w:p>
    <w:p>
      <w:pPr>
        <w:pStyle w:val="5"/>
        <w:keepNext w:val="0"/>
        <w:keepLines w:val="0"/>
        <w:widowControl/>
        <w:numPr>
          <w:ilvl w:val="0"/>
          <w:numId w:val="0"/>
        </w:numPr>
        <w:suppressLineNumbers w:val="0"/>
        <w:spacing w:line="480" w:lineRule="auto"/>
        <w:ind w:leftChars="0" w:right="0" w:rightChars="0"/>
        <w:rPr>
          <w:rFonts w:hint="default" w:ascii="Times New Roman" w:hAnsi="Times New Roman"/>
          <w:sz w:val="22"/>
          <w:szCs w:val="22"/>
          <w:lang w:val="en-US"/>
        </w:rPr>
      </w:pPr>
    </w:p>
    <w:p>
      <w:pPr>
        <w:pStyle w:val="5"/>
        <w:keepNext w:val="0"/>
        <w:keepLines w:val="0"/>
        <w:widowControl/>
        <w:suppressLineNumbers w:val="0"/>
        <w:spacing w:line="480" w:lineRule="auto"/>
        <w:rPr>
          <w:rFonts w:hint="default" w:ascii="Times New Roman" w:hAnsi="Times New Roman" w:cs="Times New Roman"/>
          <w:sz w:val="22"/>
          <w:szCs w:val="22"/>
        </w:rPr>
      </w:pPr>
    </w:p>
    <w:p>
      <w:pPr>
        <w:pStyle w:val="5"/>
        <w:keepNext w:val="0"/>
        <w:keepLines w:val="0"/>
        <w:widowControl/>
        <w:suppressLineNumbers w:val="0"/>
        <w:spacing w:line="480" w:lineRule="auto"/>
        <w:rPr>
          <w:rFonts w:hint="default" w:ascii="Times New Roman" w:hAnsi="Times New Roman" w:cs="Times New Roman"/>
          <w:sz w:val="22"/>
          <w:szCs w:val="22"/>
        </w:rPr>
      </w:pPr>
    </w:p>
    <w:p>
      <w:pPr>
        <w:pStyle w:val="5"/>
        <w:keepNext w:val="0"/>
        <w:keepLines w:val="0"/>
        <w:widowControl/>
        <w:suppressLineNumbers w:val="0"/>
        <w:spacing w:line="480" w:lineRule="auto"/>
        <w:rPr>
          <w:rFonts w:hint="default" w:ascii="Times New Roman" w:hAnsi="Times New Roman" w:cs="Times New Roman" w:eastAsiaTheme="minorEastAsia"/>
          <w:kern w:val="0"/>
          <w:sz w:val="22"/>
          <w:szCs w:val="22"/>
          <w:lang w:val="en-US" w:eastAsia="zh-CN" w:bidi="ar-SA"/>
        </w:rPr>
      </w:pPr>
    </w:p>
    <w:p>
      <w:pPr>
        <w:pStyle w:val="5"/>
        <w:keepNext w:val="0"/>
        <w:keepLines w:val="0"/>
        <w:widowControl/>
        <w:suppressLineNumbers w:val="0"/>
        <w:spacing w:line="480" w:lineRule="auto"/>
        <w:ind w:left="567" w:hanging="567"/>
        <w:rPr>
          <w:rFonts w:hint="default" w:ascii="Times New Roman" w:hAnsi="Times New Roman" w:cs="Times New Roman"/>
          <w:sz w:val="22"/>
          <w:szCs w:val="22"/>
          <w:lang w:val="en-US" w:eastAsia="zh-CN"/>
        </w:rPr>
      </w:pP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20373"/>
    <w:multiLevelType w:val="singleLevel"/>
    <w:tmpl w:val="716203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495"/>
    <w:rsid w:val="7FFE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2023-04-05T22:16:00Z</dcterms:created>
  <dc:creator>WPS_1673383292</dc:creator>
  <cp:lastModifiedBy>WPS_1673383292</cp:lastModifiedBy>
  <dcterms:modified xsi:type="dcterms:W3CDTF">2023-04-05T22:34:43Z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864FADB9A3ED4BF5B2DE4A1EE35EAABD</vt:lpwstr>
  </property>
</Properties>
</file>