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04"/>
        <w:gridCol w:w="1452"/>
        <w:gridCol w:w="1482"/>
        <w:gridCol w:w="1481"/>
        <w:gridCol w:w="1508"/>
        <w:gridCol w:w="1823"/>
      </w:tblGrid>
      <w:tr w:rsidR="00DF7531" w:rsidRPr="002A04D7" w14:paraId="5BFC27E5" w14:textId="77777777" w:rsidTr="63803988">
        <w:tc>
          <w:tcPr>
            <w:tcW w:w="772" w:type="pct"/>
            <w:hideMark/>
          </w:tcPr>
          <w:p w14:paraId="11D3AA18" w14:textId="77777777" w:rsidR="00B54C2B" w:rsidRPr="002A04D7" w:rsidRDefault="00B54C2B" w:rsidP="00187EC3">
            <w:pPr>
              <w:spacing w:before="480" w:after="480"/>
              <w:jc w:val="center"/>
              <w:rPr>
                <w:rFonts w:ascii="__Inter_Fallback_e8ce0c" w:eastAsia="Times New Roman" w:hAnsi="__Inter_Fallback_e8ce0c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Feature</w:t>
            </w:r>
          </w:p>
        </w:tc>
        <w:tc>
          <w:tcPr>
            <w:tcW w:w="844" w:type="pct"/>
            <w:hideMark/>
          </w:tcPr>
          <w:p w14:paraId="00310F53" w14:textId="77777777" w:rsidR="00B54C2B" w:rsidRPr="002A04D7" w:rsidRDefault="00B54C2B" w:rsidP="00187EC3">
            <w:pPr>
              <w:spacing w:before="480" w:after="480"/>
              <w:jc w:val="center"/>
              <w:rPr>
                <w:rFonts w:ascii="__Inter_Fallback_e8ce0c" w:eastAsia="Times New Roman" w:hAnsi="__Inter_Fallback_e8ce0c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Datadog Pros</w:t>
            </w:r>
          </w:p>
        </w:tc>
        <w:tc>
          <w:tcPr>
            <w:tcW w:w="805" w:type="pct"/>
            <w:hideMark/>
          </w:tcPr>
          <w:p w14:paraId="752583E5" w14:textId="77777777" w:rsidR="00B54C2B" w:rsidRPr="002A04D7" w:rsidRDefault="00B54C2B" w:rsidP="00187EC3">
            <w:pPr>
              <w:spacing w:before="480" w:after="480"/>
              <w:jc w:val="center"/>
              <w:rPr>
                <w:rFonts w:ascii="__Inter_Fallback_e8ce0c" w:eastAsia="Times New Roman" w:hAnsi="__Inter_Fallback_e8ce0c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Coralogix Pros</w:t>
            </w:r>
          </w:p>
        </w:tc>
        <w:tc>
          <w:tcPr>
            <w:tcW w:w="816" w:type="pct"/>
            <w:hideMark/>
          </w:tcPr>
          <w:p w14:paraId="3B41D07E" w14:textId="77777777" w:rsidR="00B54C2B" w:rsidRPr="002A04D7" w:rsidRDefault="00B54C2B" w:rsidP="00187EC3">
            <w:pPr>
              <w:spacing w:before="480" w:after="480"/>
              <w:jc w:val="center"/>
              <w:rPr>
                <w:rFonts w:ascii="__Inter_Fallback_e8ce0c" w:eastAsia="Times New Roman" w:hAnsi="__Inter_Fallback_e8ce0c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Datadog Cons</w:t>
            </w:r>
          </w:p>
        </w:tc>
        <w:tc>
          <w:tcPr>
            <w:tcW w:w="808" w:type="pct"/>
            <w:hideMark/>
          </w:tcPr>
          <w:p w14:paraId="66E85401" w14:textId="77777777" w:rsidR="00B54C2B" w:rsidRPr="002A04D7" w:rsidRDefault="00B54C2B" w:rsidP="00187EC3">
            <w:pPr>
              <w:spacing w:before="480" w:after="480"/>
              <w:jc w:val="center"/>
              <w:rPr>
                <w:rFonts w:ascii="__Inter_Fallback_e8ce0c" w:eastAsia="Times New Roman" w:hAnsi="__Inter_Fallback_e8ce0c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Coralogix Cons</w:t>
            </w:r>
          </w:p>
        </w:tc>
        <w:tc>
          <w:tcPr>
            <w:tcW w:w="955" w:type="pct"/>
            <w:hideMark/>
          </w:tcPr>
          <w:p w14:paraId="79EB8938" w14:textId="77777777" w:rsidR="00B54C2B" w:rsidRPr="002A04D7" w:rsidRDefault="00B54C2B" w:rsidP="00187EC3">
            <w:pPr>
              <w:spacing w:before="480" w:after="480"/>
              <w:jc w:val="center"/>
              <w:rPr>
                <w:rFonts w:ascii="__Inter_Fallback_e8ce0c" w:eastAsia="Times New Roman" w:hAnsi="__Inter_Fallback_e8ce0c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Winner</w:t>
            </w:r>
          </w:p>
        </w:tc>
      </w:tr>
      <w:tr w:rsidR="00DF7531" w:rsidRPr="002A04D7" w14:paraId="7379FDF0" w14:textId="77777777" w:rsidTr="63803988">
        <w:tc>
          <w:tcPr>
            <w:tcW w:w="772" w:type="pct"/>
            <w:hideMark/>
          </w:tcPr>
          <w:p w14:paraId="73937473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Cost</w:t>
            </w:r>
          </w:p>
        </w:tc>
        <w:tc>
          <w:tcPr>
            <w:tcW w:w="844" w:type="pct"/>
            <w:hideMark/>
          </w:tcPr>
          <w:p w14:paraId="7AE74E12" w14:textId="5FC9EEDA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B54C2B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Flexible pay‑per‑use pricing suitable for smaller deployments</w:t>
            </w:r>
          </w:p>
        </w:tc>
        <w:tc>
          <w:tcPr>
            <w:tcW w:w="805" w:type="pct"/>
            <w:hideMark/>
          </w:tcPr>
          <w:p w14:paraId="5E7CA908" w14:textId="77777777" w:rsidR="0024621E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More cost-effective for high-volume log ingestion with 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predictable </w:t>
            </w: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flat pricing model</w:t>
            </w:r>
            <w:r w:rsidR="00CE7856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.</w:t>
            </w:r>
          </w:p>
          <w:p w14:paraId="56666A66" w14:textId="77777777" w:rsidR="00B54C2B" w:rsidRDefault="00CE7856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br/>
            </w:r>
            <w:r w:rsidRPr="00CE7856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Coralogix’s Cost &amp; Token Tracking feature provides per‑token analysis, detailed breakdowns, and instant alerts on spending spikes.</w:t>
            </w:r>
          </w:p>
          <w:p w14:paraId="16AAF0C4" w14:textId="3300079B" w:rsidR="0024621E" w:rsidRPr="002A04D7" w:rsidRDefault="0024621E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We can filter eval data</w:t>
            </w:r>
          </w:p>
        </w:tc>
        <w:tc>
          <w:tcPr>
            <w:tcW w:w="816" w:type="pct"/>
            <w:hideMark/>
          </w:tcPr>
          <w:p w14:paraId="36E35C28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Can become expensive at scale with per-log pricing</w:t>
            </w:r>
          </w:p>
        </w:tc>
        <w:tc>
          <w:tcPr>
            <w:tcW w:w="808" w:type="pct"/>
            <w:hideMark/>
          </w:tcPr>
          <w:p w14:paraId="1E57CA3F" w14:textId="77777777" w:rsidR="00B54C2B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Limited flexibility in pricing tiers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.</w:t>
            </w:r>
          </w:p>
          <w:p w14:paraId="1406A802" w14:textId="77777777" w:rsidR="00BB2EC0" w:rsidRDefault="00BB2EC0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Additional pricing for evaluators</w:t>
            </w:r>
          </w:p>
          <w:p w14:paraId="4B5332E9" w14:textId="25A57597" w:rsidR="00BB2EC0" w:rsidRPr="002A04D7" w:rsidRDefault="00BB2EC0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(</w:t>
            </w:r>
            <w:r w:rsidRPr="00BB2EC0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Tokens × Enabled Evaluators) / 1,000,000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)</w:t>
            </w:r>
            <w:r w:rsidRPr="00BB2EC0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.</w:t>
            </w:r>
          </w:p>
        </w:tc>
        <w:tc>
          <w:tcPr>
            <w:tcW w:w="955" w:type="pct"/>
            <w:hideMark/>
          </w:tcPr>
          <w:p w14:paraId="51D50051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Coralogix for high volume; Datadog for smaller deployments</w:t>
            </w:r>
          </w:p>
        </w:tc>
      </w:tr>
      <w:tr w:rsidR="00DF7531" w:rsidRPr="002A04D7" w14:paraId="5853B116" w14:textId="77777777" w:rsidTr="63803988">
        <w:tc>
          <w:tcPr>
            <w:tcW w:w="772" w:type="pct"/>
            <w:hideMark/>
          </w:tcPr>
          <w:p w14:paraId="2A0FCA36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Latency Monitoring</w:t>
            </w:r>
          </w:p>
        </w:tc>
        <w:tc>
          <w:tcPr>
            <w:tcW w:w="844" w:type="pct"/>
            <w:hideMark/>
          </w:tcPr>
          <w:p w14:paraId="722E5E40" w14:textId="77777777" w:rsidR="00B54C2B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Purpose-built LLM observability with span-level metrics for agents and tools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.</w:t>
            </w:r>
          </w:p>
          <w:p w14:paraId="3ACD545B" w14:textId="28D49C79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Detailed real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time tracing</w:t>
            </w:r>
          </w:p>
        </w:tc>
        <w:tc>
          <w:tcPr>
            <w:tcW w:w="805" w:type="pct"/>
            <w:hideMark/>
          </w:tcPr>
          <w:p w14:paraId="68CFE03D" w14:textId="77777777" w:rsidR="00B54C2B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Strong distributed tracing capabilities with detailed timing analysis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.</w:t>
            </w:r>
          </w:p>
          <w:p w14:paraId="7229FF9F" w14:textId="6A913FBA" w:rsidR="00CE7856" w:rsidRPr="002A04D7" w:rsidRDefault="00CE7856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E7856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Includes in‑built span‑level tracing for per‑token breakdown of processing to pinpoint API delays and failures</w:t>
            </w:r>
          </w:p>
        </w:tc>
        <w:tc>
          <w:tcPr>
            <w:tcW w:w="816" w:type="pct"/>
            <w:hideMark/>
          </w:tcPr>
          <w:p w14:paraId="50406B6D" w14:textId="515B9942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Configuration and set up takes time; but already done</w:t>
            </w:r>
          </w:p>
        </w:tc>
        <w:tc>
          <w:tcPr>
            <w:tcW w:w="808" w:type="pct"/>
            <w:hideMark/>
          </w:tcPr>
          <w:p w14:paraId="52660765" w14:textId="292217C0" w:rsidR="00B54C2B" w:rsidRPr="002A04D7" w:rsidRDefault="006109A2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R</w:t>
            </w:r>
            <w:r w:rsidR="00B54C2B"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elying on general-purpose instrumentation</w:t>
            </w:r>
          </w:p>
        </w:tc>
        <w:tc>
          <w:tcPr>
            <w:tcW w:w="955" w:type="pct"/>
            <w:hideMark/>
          </w:tcPr>
          <w:p w14:paraId="3F42E1DA" w14:textId="77777777" w:rsidR="006109A2" w:rsidRPr="006109A2" w:rsidRDefault="006109A2" w:rsidP="006109A2">
            <w:pPr>
              <w:spacing w:before="480" w:after="480"/>
              <w:rPr>
                <w:rFonts w:ascii="__Inter_Fallback_e8ce0c" w:hAnsi="__Inter_Fallback_e8ce0c"/>
                <w:color w:val="000000" w:themeColor="text1"/>
                <w:sz w:val="21"/>
                <w:szCs w:val="21"/>
              </w:rPr>
            </w:pPr>
            <w:r>
              <w:rPr>
                <w:rFonts w:ascii="__Inter_Fallback_e8ce0c" w:hAnsi="__Inter_Fallback_e8ce0c"/>
                <w:color w:val="D1D5DB"/>
                <w:sz w:val="21"/>
                <w:szCs w:val="21"/>
              </w:rPr>
              <w:br/>
            </w:r>
            <w:r w:rsidRPr="006109A2">
              <w:rPr>
                <w:rFonts w:ascii="__Inter_Fallback_e8ce0c" w:hAnsi="__Inter_Fallback_e8ce0c"/>
                <w:color w:val="000000" w:themeColor="text1"/>
                <w:sz w:val="21"/>
                <w:szCs w:val="21"/>
              </w:rPr>
              <w:t>Depends on focus: Datadog for LLM specifics, Coralogix for visualization</w:t>
            </w:r>
          </w:p>
          <w:p w14:paraId="2F367C84" w14:textId="76CC7F41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commentRangeStart w:id="0"/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DF7531" w:rsidRPr="002A04D7" w14:paraId="3AA0CCAD" w14:textId="77777777" w:rsidTr="63803988">
        <w:tc>
          <w:tcPr>
            <w:tcW w:w="772" w:type="pct"/>
            <w:hideMark/>
          </w:tcPr>
          <w:p w14:paraId="1DBD90BB" w14:textId="0231CE8E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Da</w:t>
            </w:r>
            <w:commentRangeStart w:id="1"/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ta Quality Monitorin</w:t>
            </w:r>
            <w:commentRangeEnd w:id="1"/>
            <w:r>
              <w:commentReference w:id="1"/>
            </w: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g</w:t>
            </w:r>
          </w:p>
        </w:tc>
        <w:tc>
          <w:tcPr>
            <w:tcW w:w="844" w:type="pct"/>
            <w:hideMark/>
          </w:tcPr>
          <w:p w14:paraId="107C6EFD" w14:textId="77777777" w:rsidR="00B54C2B" w:rsidRDefault="006109A2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109A2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Built‑in anomaly detection and customizable tags delivering advanced insights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.</w:t>
            </w:r>
          </w:p>
          <w:p w14:paraId="0C661374" w14:textId="10BAA97E" w:rsidR="006109A2" w:rsidRPr="002A04D7" w:rsidRDefault="006109A2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Extensive dashboards for out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of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box and custom metrics</w:t>
            </w:r>
          </w:p>
        </w:tc>
        <w:tc>
          <w:tcPr>
            <w:tcW w:w="805" w:type="pct"/>
            <w:hideMark/>
          </w:tcPr>
          <w:p w14:paraId="4305017D" w14:textId="52837ABE" w:rsidR="00B54C2B" w:rsidRPr="002A04D7" w:rsidRDefault="006109A2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Strong log ingestion and custom parsing rules with automated classification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using prebuilt evals</w:t>
            </w:r>
          </w:p>
        </w:tc>
        <w:tc>
          <w:tcPr>
            <w:tcW w:w="816" w:type="pct"/>
            <w:hideMark/>
          </w:tcPr>
          <w:p w14:paraId="3216E2AA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Requires additional configuration for LLM-specific data quality metrics</w:t>
            </w:r>
          </w:p>
        </w:tc>
        <w:tc>
          <w:tcPr>
            <w:tcW w:w="808" w:type="pct"/>
            <w:hideMark/>
          </w:tcPr>
          <w:p w14:paraId="33026DD3" w14:textId="07509D2F" w:rsidR="00B54C2B" w:rsidRPr="002A04D7" w:rsidRDefault="006109A2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Less integrated tooling that directly targets LLM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specific data quality issues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. More configurations required</w:t>
            </w:r>
          </w:p>
        </w:tc>
        <w:tc>
          <w:tcPr>
            <w:tcW w:w="955" w:type="pct"/>
            <w:hideMark/>
          </w:tcPr>
          <w:p w14:paraId="7F3BF7DD" w14:textId="77777777" w:rsidR="00B54C2B" w:rsidRPr="002A04D7" w:rsidRDefault="00B54C2B" w:rsidP="002E6ED5">
            <w:pPr>
              <w:spacing w:before="480" w:after="480"/>
              <w:jc w:val="right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Datadog</w:t>
            </w:r>
          </w:p>
        </w:tc>
      </w:tr>
      <w:tr w:rsidR="00DF7531" w:rsidRPr="002A04D7" w14:paraId="6C49F5C1" w14:textId="77777777" w:rsidTr="63803988">
        <w:tc>
          <w:tcPr>
            <w:tcW w:w="772" w:type="pct"/>
            <w:hideMark/>
          </w:tcPr>
          <w:p w14:paraId="45D8D832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Model Behavior Tracking</w:t>
            </w:r>
          </w:p>
        </w:tc>
        <w:tc>
          <w:tcPr>
            <w:tcW w:w="844" w:type="pct"/>
            <w:hideMark/>
          </w:tcPr>
          <w:p w14:paraId="2AEADDB7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Native LLM observability with model performance dashboards, token usage tracking, and hallucination detection</w:t>
            </w:r>
          </w:p>
        </w:tc>
        <w:tc>
          <w:tcPr>
            <w:tcW w:w="805" w:type="pct"/>
            <w:hideMark/>
          </w:tcPr>
          <w:p w14:paraId="0F48905F" w14:textId="72EBC3F3" w:rsidR="00B54C2B" w:rsidRPr="002A04D7" w:rsidRDefault="00CE7856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E7856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In‑built evaluators track quality metrics like hallucination, toxicity, and accuracy in real time</w:t>
            </w:r>
          </w:p>
        </w:tc>
        <w:tc>
          <w:tcPr>
            <w:tcW w:w="816" w:type="pct"/>
            <w:hideMark/>
          </w:tcPr>
          <w:p w14:paraId="08491048" w14:textId="77777777" w:rsidR="00B54C2B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Premium pricing for advanced LLM-specific features</w:t>
            </w:r>
          </w:p>
          <w:p w14:paraId="6DD74CA6" w14:textId="63C54475" w:rsidR="006109A2" w:rsidRPr="002A04D7" w:rsidRDefault="006109A2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A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dditional setup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required for deep model specifics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.</w:t>
            </w:r>
          </w:p>
        </w:tc>
        <w:tc>
          <w:tcPr>
            <w:tcW w:w="808" w:type="pct"/>
            <w:hideMark/>
          </w:tcPr>
          <w:p w14:paraId="1524F874" w14:textId="77777777" w:rsidR="00B54C2B" w:rsidRDefault="006109A2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109A2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Requires custom implementation for LLM‑specific behavior tracking</w:t>
            </w:r>
            <w:r w:rsidR="00CE7856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.</w:t>
            </w:r>
          </w:p>
          <w:p w14:paraId="77A468B9" w14:textId="44DCD3B2" w:rsidR="00CE7856" w:rsidRPr="002A04D7" w:rsidRDefault="00CE7856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Needs to define each use case if using evaluators</w:t>
            </w:r>
            <w:r w:rsidR="0024621E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and additional cost</w:t>
            </w:r>
          </w:p>
        </w:tc>
        <w:tc>
          <w:tcPr>
            <w:tcW w:w="955" w:type="pct"/>
            <w:hideMark/>
          </w:tcPr>
          <w:p w14:paraId="79527B1D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Datadog</w:t>
            </w:r>
          </w:p>
        </w:tc>
      </w:tr>
      <w:tr w:rsidR="00DF7531" w:rsidRPr="002A04D7" w14:paraId="234FDFCC" w14:textId="77777777" w:rsidTr="63803988">
        <w:tc>
          <w:tcPr>
            <w:tcW w:w="772" w:type="pct"/>
            <w:hideMark/>
          </w:tcPr>
          <w:p w14:paraId="6C65CE71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HRAN (High-Resolution Analytics Network)</w:t>
            </w:r>
          </w:p>
        </w:tc>
        <w:tc>
          <w:tcPr>
            <w:tcW w:w="844" w:type="pct"/>
            <w:hideMark/>
          </w:tcPr>
          <w:p w14:paraId="18ADC375" w14:textId="00616820" w:rsidR="00CE7856" w:rsidRPr="002A04D7" w:rsidRDefault="00CE7856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E7856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Advanced, customizable high‑resolution dashboards for real‑time analytics 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(Set up already done)</w:t>
            </w:r>
          </w:p>
        </w:tc>
        <w:tc>
          <w:tcPr>
            <w:tcW w:w="805" w:type="pct"/>
            <w:hideMark/>
          </w:tcPr>
          <w:p w14:paraId="5D302376" w14:textId="78E887CF" w:rsidR="00B54C2B" w:rsidRPr="002A04D7" w:rsidRDefault="00CE7856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E7856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Streaming analytics optimized for high‑volume environments</w:t>
            </w:r>
          </w:p>
        </w:tc>
        <w:tc>
          <w:tcPr>
            <w:tcW w:w="816" w:type="pct"/>
            <w:hideMark/>
          </w:tcPr>
          <w:p w14:paraId="1ACD5C68" w14:textId="5D2F96C2" w:rsidR="00B54C2B" w:rsidRPr="002A04D7" w:rsidRDefault="00DF7531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Complex custom configurations needed in dynamic scaling scenarios</w:t>
            </w:r>
          </w:p>
        </w:tc>
        <w:tc>
          <w:tcPr>
            <w:tcW w:w="808" w:type="pct"/>
            <w:hideMark/>
          </w:tcPr>
          <w:p w14:paraId="535EC2E5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Processing latency for very high-volume data</w:t>
            </w:r>
          </w:p>
        </w:tc>
        <w:tc>
          <w:tcPr>
            <w:tcW w:w="955" w:type="pct"/>
            <w:hideMark/>
          </w:tcPr>
          <w:p w14:paraId="75679F1C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Coralogix</w:t>
            </w:r>
          </w:p>
        </w:tc>
      </w:tr>
      <w:tr w:rsidR="00DF7531" w:rsidRPr="002A04D7" w14:paraId="773CDEAC" w14:textId="77777777" w:rsidTr="63803988">
        <w:tc>
          <w:tcPr>
            <w:tcW w:w="772" w:type="pct"/>
            <w:hideMark/>
          </w:tcPr>
          <w:p w14:paraId="4A495ADE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PII Data Redaction</w:t>
            </w:r>
          </w:p>
        </w:tc>
        <w:tc>
          <w:tcPr>
            <w:tcW w:w="844" w:type="pct"/>
            <w:hideMark/>
          </w:tcPr>
          <w:p w14:paraId="34E1D9B3" w14:textId="77777777" w:rsidR="00B54C2B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Sensitive Data Scanner provides automated PII detection and redaction</w:t>
            </w:r>
          </w:p>
          <w:p w14:paraId="7B2FD49B" w14:textId="2E66330C" w:rsidR="00CE7856" w:rsidRPr="002A04D7" w:rsidRDefault="00CE7856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Implemented </w:t>
            </w:r>
            <w:r w:rsidR="00DF7531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via 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code logic before ingestion (already done)</w:t>
            </w:r>
          </w:p>
        </w:tc>
        <w:tc>
          <w:tcPr>
            <w:tcW w:w="805" w:type="pct"/>
            <w:hideMark/>
          </w:tcPr>
          <w:p w14:paraId="745F5629" w14:textId="77777777" w:rsidR="00DF7531" w:rsidRDefault="00DF7531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Supports custom masking rules using regex/pattern matching which can be tailored to unique needs</w:t>
            </w:r>
            <w:r w:rsidRPr="0077015C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1885930F" w14:textId="415FEE04" w:rsidR="00721A89" w:rsidRDefault="00721A89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Evaluator is also present</w:t>
            </w:r>
          </w:p>
          <w:p w14:paraId="74FC35F7" w14:textId="5304A5F4" w:rsidR="0077015C" w:rsidRPr="002A04D7" w:rsidRDefault="0077015C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77015C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(Needs to be set up)</w:t>
            </w:r>
          </w:p>
        </w:tc>
        <w:tc>
          <w:tcPr>
            <w:tcW w:w="816" w:type="pct"/>
            <w:hideMark/>
          </w:tcPr>
          <w:p w14:paraId="0AAF4815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Additional cost for advanced data security features</w:t>
            </w:r>
          </w:p>
        </w:tc>
        <w:tc>
          <w:tcPr>
            <w:tcW w:w="808" w:type="pct"/>
            <w:hideMark/>
          </w:tcPr>
          <w:p w14:paraId="23AFAD82" w14:textId="77777777" w:rsidR="00B54C2B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Less sophisticated automation for PII detection</w:t>
            </w:r>
          </w:p>
          <w:p w14:paraId="016D1125" w14:textId="25A00DA0" w:rsidR="00DF7531" w:rsidRPr="002A04D7" w:rsidRDefault="00DF7531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requires manual development of redaction rules</w:t>
            </w:r>
          </w:p>
        </w:tc>
        <w:tc>
          <w:tcPr>
            <w:tcW w:w="955" w:type="pct"/>
            <w:hideMark/>
          </w:tcPr>
          <w:p w14:paraId="50375ECE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Datadog</w:t>
            </w:r>
          </w:p>
        </w:tc>
      </w:tr>
      <w:tr w:rsidR="00DF7531" w:rsidRPr="002A04D7" w14:paraId="57E016B5" w14:textId="77777777" w:rsidTr="63803988">
        <w:tc>
          <w:tcPr>
            <w:tcW w:w="772" w:type="pct"/>
            <w:hideMark/>
          </w:tcPr>
          <w:p w14:paraId="75376FFB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Tool &amp; Agent Monitoring</w:t>
            </w:r>
          </w:p>
        </w:tc>
        <w:tc>
          <w:tcPr>
            <w:tcW w:w="844" w:type="pct"/>
            <w:hideMark/>
          </w:tcPr>
          <w:p w14:paraId="6ACFE7FE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Native visualization of agent workflows and tool calls (as shown in screenshots)</w:t>
            </w:r>
          </w:p>
        </w:tc>
        <w:tc>
          <w:tcPr>
            <w:tcW w:w="805" w:type="pct"/>
            <w:hideMark/>
          </w:tcPr>
          <w:p w14:paraId="4503E632" w14:textId="00874FD4" w:rsidR="00B54C2B" w:rsidRPr="002A04D7" w:rsidRDefault="00DF7531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Leverages distributed tracing to assemble end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to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end workflows</w:t>
            </w:r>
          </w:p>
        </w:tc>
        <w:tc>
          <w:tcPr>
            <w:tcW w:w="816" w:type="pct"/>
            <w:hideMark/>
          </w:tcPr>
          <w:p w14:paraId="41A2EDCC" w14:textId="179C006F" w:rsidR="00B54C2B" w:rsidRPr="002A04D7" w:rsidRDefault="00DF7531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Observed meta data leaks</w:t>
            </w:r>
          </w:p>
        </w:tc>
        <w:tc>
          <w:tcPr>
            <w:tcW w:w="808" w:type="pct"/>
            <w:hideMark/>
          </w:tcPr>
          <w:p w14:paraId="22897896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Less specialized for agentic workflows</w:t>
            </w:r>
          </w:p>
        </w:tc>
        <w:tc>
          <w:tcPr>
            <w:tcW w:w="955" w:type="pct"/>
            <w:hideMark/>
          </w:tcPr>
          <w:p w14:paraId="0EE3E54B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Datadog</w:t>
            </w:r>
          </w:p>
        </w:tc>
      </w:tr>
      <w:tr w:rsidR="00DF7531" w:rsidRPr="002A04D7" w14:paraId="1D3ABCE3" w14:textId="77777777" w:rsidTr="63803988">
        <w:tc>
          <w:tcPr>
            <w:tcW w:w="772" w:type="pct"/>
            <w:hideMark/>
          </w:tcPr>
          <w:p w14:paraId="4AD3FAE4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Kubernetes Integration</w:t>
            </w:r>
          </w:p>
        </w:tc>
        <w:tc>
          <w:tcPr>
            <w:tcW w:w="844" w:type="pct"/>
            <w:hideMark/>
          </w:tcPr>
          <w:p w14:paraId="233DE5FF" w14:textId="74A02416" w:rsidR="00DF7531" w:rsidRDefault="00DF7531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Comprehensive monitoring with automatic service discovery and detailed dashboards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with scope for custom tagging</w:t>
            </w:r>
          </w:p>
          <w:p w14:paraId="414CCE33" w14:textId="6DB90D3B" w:rsidR="00B54C2B" w:rsidRPr="002A04D7" w:rsidRDefault="00DF7531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Documentation emphasizes robust Kubernetes features</w:t>
            </w:r>
          </w:p>
        </w:tc>
        <w:tc>
          <w:tcPr>
            <w:tcW w:w="805" w:type="pct"/>
            <w:hideMark/>
          </w:tcPr>
          <w:p w14:paraId="397D6E9A" w14:textId="77777777" w:rsidR="00DF7531" w:rsidRDefault="00DF7531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Strong integration providing 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Kubernetes level insights with strong clustering of logs and errors</w:t>
            </w:r>
          </w:p>
          <w:p w14:paraId="3A8F5E68" w14:textId="0756E1D0" w:rsidR="00DF7531" w:rsidRPr="002A04D7" w:rsidRDefault="00DF7531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Easy set up</w:t>
            </w:r>
          </w:p>
        </w:tc>
        <w:tc>
          <w:tcPr>
            <w:tcW w:w="816" w:type="pct"/>
            <w:hideMark/>
          </w:tcPr>
          <w:p w14:paraId="29259A7E" w14:textId="2F21D9CC" w:rsidR="00B54C2B" w:rsidRPr="002A04D7" w:rsidRDefault="00DF7531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Resource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heavy agents may add overhead in some environments</w:t>
            </w:r>
          </w:p>
        </w:tc>
        <w:tc>
          <w:tcPr>
            <w:tcW w:w="808" w:type="pct"/>
            <w:hideMark/>
          </w:tcPr>
          <w:p w14:paraId="22A49E08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Less granular control for custom metrics</w:t>
            </w:r>
          </w:p>
        </w:tc>
        <w:tc>
          <w:tcPr>
            <w:tcW w:w="955" w:type="pct"/>
            <w:hideMark/>
          </w:tcPr>
          <w:p w14:paraId="204F4C9C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Tie</w:t>
            </w:r>
          </w:p>
        </w:tc>
      </w:tr>
      <w:tr w:rsidR="00DF7531" w:rsidRPr="002A04D7" w14:paraId="22970341" w14:textId="77777777" w:rsidTr="63803988">
        <w:tc>
          <w:tcPr>
            <w:tcW w:w="772" w:type="pct"/>
            <w:hideMark/>
          </w:tcPr>
          <w:p w14:paraId="716D1D7D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Query Analysis</w:t>
            </w:r>
          </w:p>
        </w:tc>
        <w:tc>
          <w:tcPr>
            <w:tcW w:w="844" w:type="pct"/>
            <w:hideMark/>
          </w:tcPr>
          <w:p w14:paraId="6473020E" w14:textId="77777777" w:rsidR="00DF7531" w:rsidRDefault="00DF7531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Advanced analytics for tracking common queries and token cost patterns</w:t>
            </w:r>
          </w:p>
          <w:p w14:paraId="02113A20" w14:textId="5990E234" w:rsidR="00B54C2B" w:rsidRPr="002A04D7" w:rsidRDefault="00DF7531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Detailed dashboards for query insights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br/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br/>
              <w:t>(Already set up)</w:t>
            </w:r>
          </w:p>
        </w:tc>
        <w:tc>
          <w:tcPr>
            <w:tcW w:w="805" w:type="pct"/>
            <w:hideMark/>
          </w:tcPr>
          <w:p w14:paraId="69EF9EE3" w14:textId="5D5A58A0" w:rsidR="00B54C2B" w:rsidRPr="002A04D7" w:rsidRDefault="00DF7531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Powerful search and filtering capabilities though typically generic rather than LLM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focused</w:t>
            </w:r>
          </w:p>
        </w:tc>
        <w:tc>
          <w:tcPr>
            <w:tcW w:w="816" w:type="pct"/>
            <w:hideMark/>
          </w:tcPr>
          <w:p w14:paraId="28AF4C53" w14:textId="68E2AFE5" w:rsidR="00B54C2B" w:rsidRPr="002A04D7" w:rsidRDefault="00DF7531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Requires a higher learning curve in setting up</w:t>
            </w: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additional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query analytics for new use cases</w:t>
            </w:r>
          </w:p>
        </w:tc>
        <w:tc>
          <w:tcPr>
            <w:tcW w:w="808" w:type="pct"/>
            <w:hideMark/>
          </w:tcPr>
          <w:p w14:paraId="680FDF2C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Requires more custom implementation for LLM query tracking</w:t>
            </w:r>
          </w:p>
        </w:tc>
        <w:tc>
          <w:tcPr>
            <w:tcW w:w="955" w:type="pct"/>
            <w:hideMark/>
          </w:tcPr>
          <w:p w14:paraId="43F17EB7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Datadog</w:t>
            </w:r>
          </w:p>
        </w:tc>
      </w:tr>
      <w:tr w:rsidR="00DF7531" w:rsidRPr="002A04D7" w14:paraId="7A459637" w14:textId="77777777" w:rsidTr="63803988">
        <w:tc>
          <w:tcPr>
            <w:tcW w:w="772" w:type="pct"/>
            <w:hideMark/>
          </w:tcPr>
          <w:p w14:paraId="1664A71D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Cost/Token Usage Tracking</w:t>
            </w:r>
          </w:p>
        </w:tc>
        <w:tc>
          <w:tcPr>
            <w:tcW w:w="844" w:type="pct"/>
            <w:hideMark/>
          </w:tcPr>
          <w:p w14:paraId="2E6BB67D" w14:textId="0D0EA93C" w:rsidR="006E231E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Built-in token usage tracking and cost estimation</w:t>
            </w:r>
            <w:r w:rsidR="006E231E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  (Already set up)</w:t>
            </w:r>
          </w:p>
        </w:tc>
        <w:tc>
          <w:tcPr>
            <w:tcW w:w="805" w:type="pct"/>
            <w:hideMark/>
          </w:tcPr>
          <w:p w14:paraId="7544A0AA" w14:textId="20B21564" w:rsidR="00B54C2B" w:rsidRPr="002A04D7" w:rsidRDefault="00BB2EC0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BB2EC0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Cost &amp; Token Tracking feature provides per-token analysis, detailed breakdowns of high-cost applications, and instant alerts on spending spikes</w:t>
            </w:r>
          </w:p>
        </w:tc>
        <w:tc>
          <w:tcPr>
            <w:tcW w:w="816" w:type="pct"/>
            <w:hideMark/>
          </w:tcPr>
          <w:p w14:paraId="64D48FFE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Additional setup needed for multi-model environments</w:t>
            </w:r>
          </w:p>
        </w:tc>
        <w:tc>
          <w:tcPr>
            <w:tcW w:w="808" w:type="pct"/>
            <w:hideMark/>
          </w:tcPr>
          <w:p w14:paraId="49A4F564" w14:textId="4CDCF0FA" w:rsidR="00B54C2B" w:rsidRPr="002A04D7" w:rsidRDefault="006E231E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To be researched in deep</w:t>
            </w:r>
          </w:p>
        </w:tc>
        <w:tc>
          <w:tcPr>
            <w:tcW w:w="955" w:type="pct"/>
            <w:hideMark/>
          </w:tcPr>
          <w:p w14:paraId="5866C94E" w14:textId="2650C79F" w:rsidR="00B54C2B" w:rsidRPr="002A04D7" w:rsidRDefault="006E231E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Tie</w:t>
            </w:r>
          </w:p>
        </w:tc>
      </w:tr>
      <w:tr w:rsidR="00DF7531" w:rsidRPr="002A04D7" w14:paraId="34154DF2" w14:textId="77777777" w:rsidTr="63803988">
        <w:tc>
          <w:tcPr>
            <w:tcW w:w="772" w:type="pct"/>
            <w:hideMark/>
          </w:tcPr>
          <w:p w14:paraId="5AA0B6DD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Integration with RAG Workflows</w:t>
            </w:r>
          </w:p>
        </w:tc>
        <w:tc>
          <w:tcPr>
            <w:tcW w:w="844" w:type="pct"/>
            <w:hideMark/>
          </w:tcPr>
          <w:p w14:paraId="629411ED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Native support for tracking RAG components (retrieval, augmentation, generation)</w:t>
            </w:r>
          </w:p>
        </w:tc>
        <w:tc>
          <w:tcPr>
            <w:tcW w:w="805" w:type="pct"/>
            <w:hideMark/>
          </w:tcPr>
          <w:p w14:paraId="6580A28A" w14:textId="55C7692B" w:rsidR="00B54C2B" w:rsidRPr="002A04D7" w:rsidRDefault="006E231E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Offers good overall tracing capabilities which can be extended to RAG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oriented workflows</w:t>
            </w:r>
          </w:p>
        </w:tc>
        <w:tc>
          <w:tcPr>
            <w:tcW w:w="816" w:type="pct"/>
            <w:hideMark/>
          </w:tcPr>
          <w:p w14:paraId="12E86220" w14:textId="6D95F402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08" w:type="pct"/>
            <w:hideMark/>
          </w:tcPr>
          <w:p w14:paraId="78091EDE" w14:textId="2CBEDF8C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55" w:type="pct"/>
            <w:hideMark/>
          </w:tcPr>
          <w:p w14:paraId="10F2222A" w14:textId="42492994" w:rsidR="00B54C2B" w:rsidRPr="002A04D7" w:rsidRDefault="006E231E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Tie</w:t>
            </w:r>
          </w:p>
        </w:tc>
      </w:tr>
      <w:tr w:rsidR="00DF7531" w:rsidRPr="002A04D7" w14:paraId="774133E6" w14:textId="77777777" w:rsidTr="63803988">
        <w:tc>
          <w:tcPr>
            <w:tcW w:w="772" w:type="pct"/>
            <w:hideMark/>
          </w:tcPr>
          <w:p w14:paraId="305C0898" w14:textId="5566D787" w:rsidR="006E231E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Implementati</w:t>
            </w:r>
            <w:r w:rsidR="006E231E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on </w:t>
            </w: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Complexity</w:t>
            </w:r>
            <w:r w:rsidR="006E231E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and Support</w:t>
            </w:r>
          </w:p>
        </w:tc>
        <w:tc>
          <w:tcPr>
            <w:tcW w:w="844" w:type="pct"/>
            <w:hideMark/>
          </w:tcPr>
          <w:p w14:paraId="219936AF" w14:textId="77777777" w:rsidR="00B54C2B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More complex initial setup but comprehensive dashboards</w:t>
            </w:r>
          </w:p>
          <w:p w14:paraId="55C2743A" w14:textId="0250AE1F" w:rsidR="006E231E" w:rsidRPr="002A04D7" w:rsidRDefault="006E231E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Support is slow and not immediate</w:t>
            </w:r>
          </w:p>
        </w:tc>
        <w:tc>
          <w:tcPr>
            <w:tcW w:w="805" w:type="pct"/>
            <w:hideMark/>
          </w:tcPr>
          <w:p w14:paraId="725330FA" w14:textId="77777777" w:rsidR="00B54C2B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Simpler implementation with faster time-to-value</w:t>
            </w:r>
          </w:p>
          <w:p w14:paraId="1FF1BA13" w14:textId="6830182F" w:rsidR="006E231E" w:rsidRPr="002A04D7" w:rsidRDefault="006E231E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White glove support available and 24/7 support available</w:t>
            </w:r>
          </w:p>
        </w:tc>
        <w:tc>
          <w:tcPr>
            <w:tcW w:w="816" w:type="pct"/>
            <w:hideMark/>
          </w:tcPr>
          <w:p w14:paraId="177C3F0D" w14:textId="2E975417" w:rsidR="00B54C2B" w:rsidRPr="002A04D7" w:rsidRDefault="006E231E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Steeper learning curve for configuring advanced features</w:t>
            </w:r>
          </w:p>
        </w:tc>
        <w:tc>
          <w:tcPr>
            <w:tcW w:w="808" w:type="pct"/>
            <w:hideMark/>
          </w:tcPr>
          <w:p w14:paraId="148B8887" w14:textId="45A9E1CE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require more custom development</w:t>
            </w:r>
          </w:p>
        </w:tc>
        <w:tc>
          <w:tcPr>
            <w:tcW w:w="955" w:type="pct"/>
            <w:hideMark/>
          </w:tcPr>
          <w:p w14:paraId="48015C5D" w14:textId="77777777" w:rsidR="00B54C2B" w:rsidRPr="002A04D7" w:rsidRDefault="00B54C2B" w:rsidP="00187EC3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A04D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Coralogix</w:t>
            </w:r>
          </w:p>
        </w:tc>
      </w:tr>
    </w:tbl>
    <w:p w14:paraId="1B70EFC6" w14:textId="77777777" w:rsidR="00B54C2B" w:rsidRDefault="00B54C2B" w:rsidP="00B54C2B">
      <w:pPr>
        <w:rPr>
          <w:color w:val="000000" w:themeColor="text1"/>
        </w:rPr>
      </w:pPr>
    </w:p>
    <w:p w14:paraId="76B6C6C1" w14:textId="77777777" w:rsidR="00B54C2B" w:rsidRDefault="00B54C2B"/>
    <w:sectPr w:rsidR="00B5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ideon, John @ Global D&amp;T" w:date="2025-08-22T14:33:00Z" w:initials="GD">
    <w:p w14:paraId="034F7C61" w14:textId="0F2F35D8" w:rsidR="000604DF" w:rsidRDefault="000604DF">
      <w:pPr>
        <w:pStyle w:val="CommentText"/>
      </w:pPr>
      <w:r>
        <w:rPr>
          <w:rStyle w:val="CommentReference"/>
        </w:rPr>
        <w:annotationRef/>
      </w:r>
      <w:r w:rsidRPr="5B0AE1F4">
        <w:t>can I see the latency monitoring for both</w:t>
      </w:r>
    </w:p>
    <w:p w14:paraId="4D5D2826" w14:textId="342E7B6C" w:rsidR="000604DF" w:rsidRDefault="000604DF">
      <w:pPr>
        <w:pStyle w:val="CommentText"/>
      </w:pPr>
    </w:p>
  </w:comment>
  <w:comment w:id="1" w:author="Gideon, John @ Global D&amp;T" w:date="2025-08-22T14:32:00Z" w:initials="GD">
    <w:p w14:paraId="7DE9493C" w14:textId="6271905A" w:rsidR="00F31ACF" w:rsidRDefault="00F31ACF">
      <w:r>
        <w:annotationRef/>
      </w:r>
      <w:r w:rsidRPr="0FB33B45">
        <w:t>Review DD  and CL DQ monitoring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D5D2826" w15:done="0"/>
  <w15:commentEx w15:paraId="7DE949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C44C193" w16cex:dateUtc="2025-08-22T19:33:00Z"/>
  <w16cex:commentExtensible w16cex:durableId="50011F4A" w16cex:dateUtc="2025-08-22T19:32:00Z">
    <w16cex:extLst>
      <w16:ext w16:uri="{CE6994B0-6A32-4C9F-8C6B-6E91EDA988CE}">
        <cr:reactions xmlns:cr="http://schemas.microsoft.com/office/comments/2020/reactions">
          <cr:reaction reactionType="1">
            <cr:reactionInfo dateUtc="2025-08-22T19:32:27Z">
              <cr:user userId="S::john.gideon@cbre.com::6f295f2a-41fe-4381-9179-c1ebc3951c81" userProvider="AD" userName="Gideon, John @ Global D&amp;T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D5D2826" w16cid:durableId="6C44C193"/>
  <w16cid:commentId w16cid:paraId="7DE9493C" w16cid:durableId="50011F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Inter_Fallback_e8ce0c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deon, John @ Global D&amp;T">
    <w15:presenceInfo w15:providerId="AD" w15:userId="S::john.gideon@cbre.com::6f295f2a-41fe-4381-9179-c1ebc3951c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2B"/>
    <w:rsid w:val="000604DF"/>
    <w:rsid w:val="000C1056"/>
    <w:rsid w:val="00156EB0"/>
    <w:rsid w:val="0016036B"/>
    <w:rsid w:val="00187EC3"/>
    <w:rsid w:val="0024621E"/>
    <w:rsid w:val="002C767E"/>
    <w:rsid w:val="002E6ED5"/>
    <w:rsid w:val="006109A2"/>
    <w:rsid w:val="006E231E"/>
    <w:rsid w:val="00721A89"/>
    <w:rsid w:val="0077015C"/>
    <w:rsid w:val="00774165"/>
    <w:rsid w:val="008C5067"/>
    <w:rsid w:val="00B33B8F"/>
    <w:rsid w:val="00B54C2B"/>
    <w:rsid w:val="00BB2EC0"/>
    <w:rsid w:val="00BE5D2A"/>
    <w:rsid w:val="00C96742"/>
    <w:rsid w:val="00CE7856"/>
    <w:rsid w:val="00DA06F3"/>
    <w:rsid w:val="00DF7531"/>
    <w:rsid w:val="00F31ACF"/>
    <w:rsid w:val="00FF46E4"/>
    <w:rsid w:val="26EE523B"/>
    <w:rsid w:val="4F859D77"/>
    <w:rsid w:val="6380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5B92F"/>
  <w15:chartTrackingRefBased/>
  <w15:docId w15:val="{B3480ACC-695E-493E-BAE1-469BB43C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C2B"/>
  </w:style>
  <w:style w:type="paragraph" w:styleId="Heading1">
    <w:name w:val="heading 1"/>
    <w:basedOn w:val="Normal"/>
    <w:next w:val="Normal"/>
    <w:link w:val="Heading1Char"/>
    <w:uiPriority w:val="9"/>
    <w:qFormat/>
    <w:rsid w:val="00B54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C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B33B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B8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3B8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b24e89f-6132-424b-9c64-0340397f5d20}" enabled="1" method="Privileged" siteId="{0159e9d0-09a0-4edf-96ba-a3deea363c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699</Words>
  <Characters>3990</Characters>
  <Application>Microsoft Office Word</Application>
  <DocSecurity>4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Kotra, Srikar @ Global D&amp;T</dc:creator>
  <cp:keywords/>
  <dc:description/>
  <cp:lastModifiedBy>Gideon, John @ Global D&amp;T</cp:lastModifiedBy>
  <cp:revision>6</cp:revision>
  <dcterms:created xsi:type="dcterms:W3CDTF">2025-08-12T16:19:00Z</dcterms:created>
  <dcterms:modified xsi:type="dcterms:W3CDTF">2025-08-22T19:33:00Z</dcterms:modified>
</cp:coreProperties>
</file>