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Basic Single Motif Grammar: Rule: S → N*[TF]N* Example: AATTC[GATA1]GGTCA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Fixed-Space Two-Motif Grammar: Rule: S → N*[TF1]N^k[TF2]N* Example: AATT[AP1]NNNNNN[GR]GGTCA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Variable-Space Two-Motif Grammar: Rule: S → N*[TF1]N*[TF2]N* Example: AATT[AP1]NNNNNN[GR]GGTCA or AATT[AP1][GR]GGTCA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Or-Logic Grammar: Rule: S → N*([TF1]|[TF2])N* Example: AATTC[GATA1]GGTCA or AATTC[TAL1]GGTCA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Repetitive Motif Grammar: Rule: S → N*([TF]N*)* Example: AATT[CTCF]NNN[CTCF]NNNNN[CTCF]GGTCA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Palindromic Motif Grammar: Rule: S → N*[TF]N*[TF_reverse]N* Example: AATT[GATA→]NNNN[←ATAG]GGTCA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Ordered Multi-Motif Grammar: Rule: S → N*[TF1]N*[TF2]N*[TF3]N* Example: AATT[GATA1]NNNN[TAL1]NNNNNNNN[RUNX1]GGTCA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Alternating Motif Grammar: Rule: S → N*([TF1]N*[TF2]N*)* Example: AATT[DORSAL]NNN[SNAIL]NNNNN[DORSAL]NNN[SNAIL]GGTCA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Motif Grammar: Rule: S → N*[TF1]N</w:t>
      </w:r>
      <w:r w:rsidDel="00000000" w:rsidR="00000000" w:rsidRPr="00000000">
        <w:rPr>
          <w:i w:val="1"/>
          <w:rtl w:val="0"/>
        </w:rPr>
        <w:t xml:space="preserve">S[TF1]N</w:t>
      </w:r>
      <w:r w:rsidDel="00000000" w:rsidR="00000000" w:rsidRPr="00000000">
        <w:rPr>
          <w:rtl w:val="0"/>
        </w:rPr>
        <w:t xml:space="preserve"> Example: AATT[CTCF]NNN[GATA1]NNN[GATA1]NNN[CTCF]GGTCA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Complex Multi-Motif Grammar: Rule: S → N*([TF1]N*[TF2]N*|[TF3]N*[TF4]N*)</w:t>
      </w:r>
      <w:r w:rsidDel="00000000" w:rsidR="00000000" w:rsidRPr="00000000">
        <w:rPr>
          <w:i w:val="1"/>
          <w:rtl w:val="0"/>
        </w:rPr>
        <w:t xml:space="preserve">([TF5]|[TF6])N</w:t>
      </w:r>
      <w:r w:rsidDel="00000000" w:rsidR="00000000" w:rsidRPr="00000000">
        <w:rPr>
          <w:rtl w:val="0"/>
        </w:rPr>
        <w:t xml:space="preserve"> Example: AATT[PU1]NN[IRF8]NNN[GATA1]NNNN[TAL1]NN[OCT4]GGTCA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In enhancer biology, various motif grammars help describe the arrangement and interaction of transcription factor (TF) binding sites. The simplest form is the </w:t>
      </w:r>
      <w:r w:rsidDel="00000000" w:rsidR="00000000" w:rsidRPr="00000000">
        <w:rPr>
          <w:b w:val="1"/>
          <w:rtl w:val="0"/>
        </w:rPr>
        <w:t xml:space="preserve">Single Motif Grammar</w:t>
      </w:r>
      <w:r w:rsidDel="00000000" w:rsidR="00000000" w:rsidRPr="00000000">
        <w:rPr>
          <w:rtl w:val="0"/>
        </w:rPr>
        <w:t xml:space="preserve">, which features a single TF binding site. Expanding on this, the </w:t>
      </w:r>
      <w:r w:rsidDel="00000000" w:rsidR="00000000" w:rsidRPr="00000000">
        <w:rPr>
          <w:b w:val="1"/>
          <w:rtl w:val="0"/>
        </w:rPr>
        <w:t xml:space="preserve">Fixed-Space Two-Motif Grammar</w:t>
      </w:r>
      <w:r w:rsidDel="00000000" w:rsidR="00000000" w:rsidRPr="00000000">
        <w:rPr>
          <w:rtl w:val="0"/>
        </w:rPr>
        <w:t xml:space="preserve"> represents cooperative interactions between two TFs with a fixed distance between them, while the </w:t>
      </w:r>
      <w:r w:rsidDel="00000000" w:rsidR="00000000" w:rsidRPr="00000000">
        <w:rPr>
          <w:b w:val="1"/>
          <w:rtl w:val="0"/>
        </w:rPr>
        <w:t xml:space="preserve">Variable-Space Two-Motif Grammar</w:t>
      </w:r>
      <w:r w:rsidDel="00000000" w:rsidR="00000000" w:rsidRPr="00000000">
        <w:rPr>
          <w:rtl w:val="0"/>
        </w:rPr>
        <w:t xml:space="preserve"> allows for flexible spacing, which is common in enhancers. The </w:t>
      </w:r>
      <w:r w:rsidDel="00000000" w:rsidR="00000000" w:rsidRPr="00000000">
        <w:rPr>
          <w:b w:val="1"/>
          <w:rtl w:val="0"/>
        </w:rPr>
        <w:t xml:space="preserve">Or-Logic Grammar</w:t>
      </w:r>
      <w:r w:rsidDel="00000000" w:rsidR="00000000" w:rsidRPr="00000000">
        <w:rPr>
          <w:rtl w:val="0"/>
        </w:rPr>
        <w:t xml:space="preserve"> models enhancers that can be activated by either of two different TFs. For repetitive structures, the </w:t>
      </w:r>
      <w:r w:rsidDel="00000000" w:rsidR="00000000" w:rsidRPr="00000000">
        <w:rPr>
          <w:b w:val="1"/>
          <w:rtl w:val="0"/>
        </w:rPr>
        <w:t xml:space="preserve">Repetitive Motif Grammar</w:t>
      </w:r>
      <w:r w:rsidDel="00000000" w:rsidR="00000000" w:rsidRPr="00000000">
        <w:rPr>
          <w:rtl w:val="0"/>
        </w:rPr>
        <w:t xml:space="preserve"> captures homotypic clusters of TF binding sites, frequently seen in enhancer regions. Some TF binding sites occur in </w:t>
      </w:r>
      <w:r w:rsidDel="00000000" w:rsidR="00000000" w:rsidRPr="00000000">
        <w:rPr>
          <w:b w:val="1"/>
          <w:rtl w:val="0"/>
        </w:rPr>
        <w:t xml:space="preserve">palindromic orientations</w:t>
      </w:r>
      <w:r w:rsidDel="00000000" w:rsidR="00000000" w:rsidRPr="00000000">
        <w:rPr>
          <w:rtl w:val="0"/>
        </w:rPr>
        <w:t xml:space="preserve">, especially with nuclear receptors, represented by the </w:t>
      </w:r>
      <w:r w:rsidDel="00000000" w:rsidR="00000000" w:rsidRPr="00000000">
        <w:rPr>
          <w:b w:val="1"/>
          <w:rtl w:val="0"/>
        </w:rPr>
        <w:t xml:space="preserve">Palindromic Motif Grammar</w:t>
      </w:r>
      <w:r w:rsidDel="00000000" w:rsidR="00000000" w:rsidRPr="00000000">
        <w:rPr>
          <w:rtl w:val="0"/>
        </w:rPr>
        <w:t xml:space="preserve">. More complex arrangements include the </w:t>
      </w:r>
      <w:r w:rsidDel="00000000" w:rsidR="00000000" w:rsidRPr="00000000">
        <w:rPr>
          <w:b w:val="1"/>
          <w:rtl w:val="0"/>
        </w:rPr>
        <w:t xml:space="preserve">Ordered Multi-Motif Grammar</w:t>
      </w:r>
      <w:r w:rsidDel="00000000" w:rsidR="00000000" w:rsidRPr="00000000">
        <w:rPr>
          <w:rtl w:val="0"/>
        </w:rPr>
        <w:t xml:space="preserve">, where multiple TFs bind in a specific sequence, and the </w:t>
      </w:r>
      <w:r w:rsidDel="00000000" w:rsidR="00000000" w:rsidRPr="00000000">
        <w:rPr>
          <w:b w:val="1"/>
          <w:rtl w:val="0"/>
        </w:rPr>
        <w:t xml:space="preserve">Alternating Motif Grammar</w:t>
      </w:r>
      <w:r w:rsidDel="00000000" w:rsidR="00000000" w:rsidRPr="00000000">
        <w:rPr>
          <w:rtl w:val="0"/>
        </w:rPr>
        <w:t xml:space="preserve">, which involves a repeating pattern of different TF binding sites. The </w:t>
      </w:r>
      <w:r w:rsidDel="00000000" w:rsidR="00000000" w:rsidRPr="00000000">
        <w:rPr>
          <w:b w:val="1"/>
          <w:rtl w:val="0"/>
        </w:rPr>
        <w:t xml:space="preserve">Nested Motif Grammar</w:t>
      </w:r>
      <w:r w:rsidDel="00000000" w:rsidR="00000000" w:rsidRPr="00000000">
        <w:rPr>
          <w:rtl w:val="0"/>
        </w:rPr>
        <w:t xml:space="preserve"> is used for more intricate enhancers where one TF’s binding site flanks another, and the </w:t>
      </w:r>
      <w:r w:rsidDel="00000000" w:rsidR="00000000" w:rsidRPr="00000000">
        <w:rPr>
          <w:b w:val="1"/>
          <w:rtl w:val="0"/>
        </w:rPr>
        <w:t xml:space="preserve">Complex Multi-Motif Grammar</w:t>
      </w:r>
      <w:r w:rsidDel="00000000" w:rsidR="00000000" w:rsidRPr="00000000">
        <w:rPr>
          <w:rtl w:val="0"/>
        </w:rPr>
        <w:t xml:space="preserve"> represents highly complex enhancers with multiple TFs and variable spacing. The TF motifs chosen for these grammars span a wide range of biological processes: </w:t>
      </w:r>
      <w:r w:rsidDel="00000000" w:rsidR="00000000" w:rsidRPr="00000000">
        <w:rPr>
          <w:b w:val="1"/>
          <w:rtl w:val="0"/>
        </w:rPr>
        <w:t xml:space="preserve">GATA1, TAL1, RUNX1</w:t>
      </w:r>
      <w:r w:rsidDel="00000000" w:rsidR="00000000" w:rsidRPr="00000000">
        <w:rPr>
          <w:rtl w:val="0"/>
        </w:rPr>
        <w:t xml:space="preserve"> are involved in blood cell development, </w:t>
      </w:r>
      <w:r w:rsidDel="00000000" w:rsidR="00000000" w:rsidRPr="00000000">
        <w:rPr>
          <w:b w:val="1"/>
          <w:rtl w:val="0"/>
        </w:rPr>
        <w:t xml:space="preserve">AP1 and GR</w:t>
      </w:r>
      <w:r w:rsidDel="00000000" w:rsidR="00000000" w:rsidRPr="00000000">
        <w:rPr>
          <w:rtl w:val="0"/>
        </w:rPr>
        <w:t xml:space="preserve"> in stress response, </w:t>
      </w:r>
      <w:r w:rsidDel="00000000" w:rsidR="00000000" w:rsidRPr="00000000">
        <w:rPr>
          <w:b w:val="1"/>
          <w:rtl w:val="0"/>
        </w:rPr>
        <w:t xml:space="preserve">CTCF</w:t>
      </w:r>
      <w:r w:rsidDel="00000000" w:rsidR="00000000" w:rsidRPr="00000000">
        <w:rPr>
          <w:rtl w:val="0"/>
        </w:rPr>
        <w:t xml:space="preserve"> in chromatin organization, and </w:t>
      </w:r>
      <w:r w:rsidDel="00000000" w:rsidR="00000000" w:rsidRPr="00000000">
        <w:rPr>
          <w:b w:val="1"/>
          <w:rtl w:val="0"/>
        </w:rPr>
        <w:t xml:space="preserve">PU1, IRF8</w:t>
      </w:r>
      <w:r w:rsidDel="00000000" w:rsidR="00000000" w:rsidRPr="00000000">
        <w:rPr>
          <w:rtl w:val="0"/>
        </w:rPr>
        <w:t xml:space="preserve"> in immune development. Other important TFs include </w:t>
      </w:r>
      <w:r w:rsidDel="00000000" w:rsidR="00000000" w:rsidRPr="00000000">
        <w:rPr>
          <w:b w:val="1"/>
          <w:rtl w:val="0"/>
        </w:rPr>
        <w:t xml:space="preserve">OCT4</w:t>
      </w:r>
      <w:r w:rsidDel="00000000" w:rsidR="00000000" w:rsidRPr="00000000">
        <w:rPr>
          <w:rtl w:val="0"/>
        </w:rPr>
        <w:t xml:space="preserve"> for stem cell pluripotency, </w:t>
      </w:r>
      <w:r w:rsidDel="00000000" w:rsidR="00000000" w:rsidRPr="00000000">
        <w:rPr>
          <w:b w:val="1"/>
          <w:rtl w:val="0"/>
        </w:rPr>
        <w:t xml:space="preserve">ETS</w:t>
      </w:r>
      <w:r w:rsidDel="00000000" w:rsidR="00000000" w:rsidRPr="00000000">
        <w:rPr>
          <w:rtl w:val="0"/>
        </w:rPr>
        <w:t xml:space="preserve"> for cell proliferation, </w:t>
      </w:r>
      <w:r w:rsidDel="00000000" w:rsidR="00000000" w:rsidRPr="00000000">
        <w:rPr>
          <w:b w:val="1"/>
          <w:rtl w:val="0"/>
        </w:rPr>
        <w:t xml:space="preserve">SREBP</w:t>
      </w:r>
      <w:r w:rsidDel="00000000" w:rsidR="00000000" w:rsidRPr="00000000">
        <w:rPr>
          <w:rtl w:val="0"/>
        </w:rPr>
        <w:t xml:space="preserve"> for lipid metabolism, </w:t>
      </w:r>
      <w:r w:rsidDel="00000000" w:rsidR="00000000" w:rsidRPr="00000000">
        <w:rPr>
          <w:b w:val="1"/>
          <w:rtl w:val="0"/>
        </w:rPr>
        <w:t xml:space="preserve">CREB</w:t>
      </w:r>
      <w:r w:rsidDel="00000000" w:rsidR="00000000" w:rsidRPr="00000000">
        <w:rPr>
          <w:rtl w:val="0"/>
        </w:rPr>
        <w:t xml:space="preserve"> for cAMP responses, </w:t>
      </w:r>
      <w:r w:rsidDel="00000000" w:rsidR="00000000" w:rsidRPr="00000000">
        <w:rPr>
          <w:b w:val="1"/>
          <w:rtl w:val="0"/>
        </w:rPr>
        <w:t xml:space="preserve">STAT</w:t>
      </w:r>
      <w:r w:rsidDel="00000000" w:rsidR="00000000" w:rsidRPr="00000000">
        <w:rPr>
          <w:rtl w:val="0"/>
        </w:rPr>
        <w:t xml:space="preserve"> for cytokine signaling, and </w:t>
      </w:r>
      <w:r w:rsidDel="00000000" w:rsidR="00000000" w:rsidRPr="00000000">
        <w:rPr>
          <w:b w:val="1"/>
          <w:rtl w:val="0"/>
        </w:rPr>
        <w:t xml:space="preserve">DREF, TRL, E2F</w:t>
      </w:r>
      <w:r w:rsidDel="00000000" w:rsidR="00000000" w:rsidRPr="00000000">
        <w:rPr>
          <w:rtl w:val="0"/>
        </w:rPr>
        <w:t xml:space="preserve"> for chromatin remodeling and cell cycle regulation, especially in </w:t>
      </w:r>
      <w:r w:rsidDel="00000000" w:rsidR="00000000" w:rsidRPr="00000000">
        <w:rPr>
          <w:i w:val="1"/>
          <w:rtl w:val="0"/>
        </w:rPr>
        <w:t xml:space="preserve">Drosophila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