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Robotic Automation in Industry 4.0 Using 5G Communication</w:t>
      </w:r>
    </w:p>
    <w:p>
      <w:pPr>
        <w:spacing w:after="360"/>
        <w:jc w:val="center"/>
      </w:pPr>
      <w:r>
        <w:rPr>
          <w:rFonts w:ascii="Calibri" w:cs="Calibri" w:eastAsia="Calibri" w:hAnsi="Calibri"/>
          <w:i/>
          <w:iCs/>
          <w:color w:val="555555"/>
          <w:sz w:val="24"/>
          <w:szCs w:val="24"/>
        </w:rPr>
        <w:t xml:space="preserve">An Article Review</w:t>
      </w:r>
    </w:p>
    <w:p>
      <w:pPr>
        <w:pStyle w:val="Heading1"/>
        <w:spacing w:after="160" w:before="320"/>
      </w:pPr>
      <w:r>
        <w:t xml:space="preserve">Abstract</w:t>
      </w:r>
    </w:p>
    <w:p>
      <w:pPr>
        <w:spacing w:after="200" w:line="300"/>
        <w:jc w:val="both"/>
      </w:pPr>
      <w:r>
        <w:rPr>
          <w:rFonts w:ascii="Calibri" w:cs="Calibri" w:eastAsia="Calibri" w:hAnsi="Calibri"/>
          <w:sz w:val="22"/>
          <w:szCs w:val="22"/>
        </w:rPr>
        <w:t xml:space="preserve">The convergence of robotic automation and fifth-generation (5G) mobile communication is widely regarded as one of the defining technical enablers of Industry 4.0. Wired fieldbuses and Wi-Fi have historically limited the mobility, reconfigurability, and scalability of industrial robots, while 5G's ultra-reliable low-latency communication (URLLC), enhanced mobile broadband (eMBB), and massive machine-type communication (mMTC) service classes promise to remove these constraints. This review synthesizes the current literature on 5G-enabled robotic automation, covering the technical drivers behind the shift to wireless control, the core 5G features that make it feasible, reported use cases such as automated guided vehicles (AGVs) and remote-controlled manipulators, and the persistent challenges of latency, reliability, security, and cost that continue to slow industrial adoption. The review closes by identifying gaps in the literature and directions for future research, including the transition toward 6G and Industry 5.0.</w:t>
      </w:r>
    </w:p>
    <w:p>
      <w:pPr>
        <w:pStyle w:val="Heading1"/>
        <w:spacing w:after="160" w:before="320"/>
      </w:pPr>
      <w:r>
        <w:t xml:space="preserve">1. Introduction</w:t>
      </w:r>
    </w:p>
    <w:p>
      <w:pPr>
        <w:spacing w:after="200" w:line="300"/>
        <w:jc w:val="both"/>
      </w:pPr>
      <w:r>
        <w:rPr>
          <w:rFonts w:ascii="Calibri" w:cs="Calibri" w:eastAsia="Calibri" w:hAnsi="Calibri"/>
          <w:sz w:val="22"/>
          <w:szCs w:val="22"/>
        </w:rPr>
        <w:t xml:space="preserve">Industry 4.0 describes the integration of cyber-physical systems, the Industrial Internet of Things (IIoT), cloud computing, and data-driven decision-making into manufacturing and production environments. A central requirement of this vision is guaranteed, real-time communication between humans, robots, factory logistics systems, and products. For decades, this requirement was met using wired industrial fieldbuses (PROFINET, EtherCAT) or, more recently, Wi-Fi, both of which impose constraints on robot mobility, plant layout flexibility, and the number of devices that can be connected.</w:t>
      </w:r>
    </w:p>
    <w:p>
      <w:pPr>
        <w:spacing w:after="200" w:line="300"/>
        <w:jc w:val="both"/>
      </w:pPr>
      <w:r>
        <w:rPr>
          <w:rFonts w:ascii="Calibri" w:cs="Calibri" w:eastAsia="Calibri" w:hAnsi="Calibri"/>
          <w:sz w:val="22"/>
          <w:szCs w:val="22"/>
        </w:rPr>
        <w:t xml:space="preserve">5G was designed from the outset with industrial verticals in mind. Unlike previous cellular generations, which were optimized primarily for human-centric broadband traffic, 5G defines three distinct service classes: enhanced Mobile Broadband (eMBB) for high-throughput applications such as video-based inspection; massive Machine-Type Communication (mMTC) for dense sensor and actuator networks; and Ultra-Reliable Low-Latency Communication (URLLC), which targets sub-millisecond to few-millisecond latency with packet reliability often exceeding 99.999%. It is this last class, combined with capabilities such as network slicing and edge computing, that has generated the most interest for robotic automation specifically. This review examines the published literature to assess how far this promise has been realized in practice, what use cases have been demonstrated, and what barriers remain.</w:t>
      </w:r>
    </w:p>
    <w:p>
      <w:pPr>
        <w:pStyle w:val="Heading1"/>
        <w:spacing w:after="160" w:before="320"/>
      </w:pPr>
      <w:r>
        <w:t xml:space="preserve">2. Review Methodology</w:t>
      </w:r>
    </w:p>
    <w:p>
      <w:pPr>
        <w:spacing w:after="200" w:line="300"/>
        <w:jc w:val="both"/>
      </w:pPr>
      <w:r>
        <w:rPr>
          <w:rFonts w:ascii="Calibri" w:cs="Calibri" w:eastAsia="Calibri" w:hAnsi="Calibri"/>
          <w:sz w:val="22"/>
          <w:szCs w:val="22"/>
        </w:rPr>
        <w:t xml:space="preserve">This review draws on peer-reviewed conference and journal papers, IEEE and arXiv preprints, and industry technical reports published between approximately 2018 and 2025, covering the period from early 5G-for-industry proposals through recent techno-economic and survey studies. Sources were selected for direct relevance to robotic automation, industrial wireless communication, URLLC/network slicing, and Industry 4.0 architecture. The review is organized thematically rather than chronologically: it first covers the technical enablers of 5G relevant to robotics, then reported applications, then challenges, and finally future directions.</w:t>
      </w:r>
    </w:p>
    <w:p>
      <w:pPr>
        <w:pStyle w:val="Heading1"/>
        <w:spacing w:after="160" w:before="320"/>
      </w:pPr>
      <w:r>
        <w:t xml:space="preserve">3. Technical Enablers of 5G for Robotic Automation</w:t>
      </w:r>
    </w:p>
    <w:p>
      <w:pPr>
        <w:pStyle w:val="Heading2"/>
        <w:spacing w:after="120" w:before="240"/>
      </w:pPr>
      <w:r>
        <w:t xml:space="preserve">3.1 Ultra-Reliable Low-Latency Communication (URLLC)</w:t>
      </w:r>
    </w:p>
    <w:p>
      <w:pPr>
        <w:spacing w:after="200" w:line="300"/>
        <w:jc w:val="both"/>
      </w:pPr>
      <w:r>
        <w:rPr>
          <w:rFonts w:ascii="Calibri" w:cs="Calibri" w:eastAsia="Calibri" w:hAnsi="Calibri"/>
          <w:sz w:val="22"/>
          <w:szCs w:val="22"/>
        </w:rPr>
        <w:t xml:space="preserve">URLLC is consistently identified in the literature as the single most important 5G capability for industrial robotics. Reviewed surveys define URLLC reliability as the percentage of packets successfully delivered within an application-specific time bound, and note that mission-critical robotic tasks — including tactile control, coordinated multi-robot motion, and remote or telesurgical manipulation — depend on meeting both the latency and reliability targets simultaneously rather than either in isolation. One reviewed study notes that master–slave robotic synchronization tasks (e.g., surgical robotics) can require torque-feedback latencies of approximately one millisecond, a target that is difficult to sustain end-to-end once a network spans multiple hops or a wide geographic area.</w:t>
      </w:r>
    </w:p>
    <w:p>
      <w:pPr>
        <w:pStyle w:val="Heading2"/>
        <w:spacing w:after="120" w:before="240"/>
      </w:pPr>
      <w:r>
        <w:t xml:space="preserve">3.2 Network Slicing, SDN, and NFV</w:t>
      </w:r>
    </w:p>
    <w:p>
      <w:pPr>
        <w:spacing w:after="200" w:line="300"/>
        <w:jc w:val="both"/>
      </w:pPr>
      <w:r>
        <w:rPr>
          <w:rFonts w:ascii="Calibri" w:cs="Calibri" w:eastAsia="Calibri" w:hAnsi="Calibri"/>
          <w:sz w:val="22"/>
          <w:szCs w:val="22"/>
        </w:rPr>
        <w:t xml:space="preserve">Because a single factory network must simultaneously support cyclic, deterministic robot-control traffic and best-effort or high-bandwidth traffic (e.g., video analytics), several reviewed papers propose network slicing — using Software-Defined Networking (SDN) and Network Function Virtualization (NFV) — to partition a shared physical 5G network into isolated logical slices, each tuned to a different traffic class. Case studies of industrial scenarios (including a medicine-manufacturing plant) demonstrate that deterministic network calculus can be used to bound end-to-end latency across slices that mix deterministic and switched sub-networks. Other work frames slicing as an economic and operational necessity for the coexistence of eMBB and URLLC traffic on shared infrastructure, while noting a functional trade-off: optimizing a network for URLLC performance tends to degrade eMBB throughput, and vice versa.</w:t>
      </w:r>
    </w:p>
    <w:p>
      <w:pPr>
        <w:pStyle w:val="Heading2"/>
        <w:spacing w:after="120" w:before="240"/>
      </w:pPr>
      <w:r>
        <w:t xml:space="preserve">3.3 Multi-Access Edge Computing (MEC)</w:t>
      </w:r>
    </w:p>
    <w:p>
      <w:pPr>
        <w:spacing w:after="200" w:line="300"/>
        <w:jc w:val="both"/>
      </w:pPr>
      <w:r>
        <w:rPr>
          <w:rFonts w:ascii="Calibri" w:cs="Calibri" w:eastAsia="Calibri" w:hAnsi="Calibri"/>
          <w:sz w:val="22"/>
          <w:szCs w:val="22"/>
        </w:rPr>
        <w:t xml:space="preserve">Several reviewed sources describe moving robot intelligence — perception, path planning, or control loops — off the robot and onto edge servers co-located with the 5G radio access network. This is reported to simplify robot hardware, reduce power consumption on mobile platforms, and centralize software updates and coordination across a robot fleet, provided that the round-trip network latency remains within the control loop's tolerance.</w:t>
      </w:r>
    </w:p>
    <w:p>
      <w:pPr>
        <w:pStyle w:val="Heading2"/>
        <w:spacing w:after="120" w:before="240"/>
      </w:pPr>
      <w:r>
        <w:t xml:space="preserve">3.4 Time-Sensitive Networking (TSN) Integration</w:t>
      </w:r>
    </w:p>
    <w:p>
      <w:pPr>
        <w:spacing w:after="200" w:line="300"/>
        <w:jc w:val="both"/>
      </w:pPr>
      <w:r>
        <w:rPr>
          <w:rFonts w:ascii="Calibri" w:cs="Calibri" w:eastAsia="Calibri" w:hAnsi="Calibri"/>
          <w:sz w:val="22"/>
          <w:szCs w:val="22"/>
        </w:rPr>
        <w:t xml:space="preserve">Because industrial Ethernet increasingly relies on TSN to guarantee deterministic delivery, several papers highlight ongoing work to integrate 5G radio access with TSN so that wireless links can be treated by industrial controllers as a deterministic segment of an otherwise wired network, rather than as a separate, less predictable medium.</w:t>
      </w:r>
    </w:p>
    <w:p>
      <w:pPr>
        <w:pStyle w:val="Heading1"/>
        <w:spacing w:after="160" w:before="320"/>
      </w:pPr>
      <w:r>
        <w:t xml:space="preserve">4. Reported Applications in the Literature</w:t>
      </w:r>
    </w:p>
    <w:p>
      <w:pPr>
        <w:pStyle w:val="Heading2"/>
        <w:spacing w:after="120" w:before="240"/>
      </w:pPr>
      <w:r>
        <w:t xml:space="preserve">4.1 Autonomous Mobile Robots and AGVs</w:t>
      </w:r>
    </w:p>
    <w:p>
      <w:pPr>
        <w:spacing w:after="200" w:line="300"/>
        <w:jc w:val="both"/>
      </w:pPr>
      <w:r>
        <w:rPr>
          <w:rFonts w:ascii="Calibri" w:cs="Calibri" w:eastAsia="Calibri" w:hAnsi="Calibri"/>
          <w:sz w:val="22"/>
          <w:szCs w:val="22"/>
        </w:rPr>
        <w:t xml:space="preserve">A recurring use case in the reviewed literature is the 5G-based control of automated guided vehicles (AGVs) and autonomous mobile robots (AMRs), in which robot intelligence is relocated to a remote controller and the vehicle itself becomes a largely 'dumb' actuator connected over the radio link. One study using the 5G EVE end-to-end validation platform reports that this architecture can meet the latency constraints of AGV control more reliably than legacy mobile technologies, even under degraded radio conditions. A related 2024 techno-economic analysis observes that despite these technical advantages, adoption has lagged expectations because of high infrastructure investment and uncertain return on investment, and it proposes a centralized, 5G-based AMR control architecture together with a total-cost-of-ownership model to help operators evaluate the business case.</w:t>
      </w:r>
    </w:p>
    <w:p>
      <w:pPr>
        <w:pStyle w:val="Heading2"/>
        <w:spacing w:after="120" w:before="240"/>
      </w:pPr>
      <w:r>
        <w:t xml:space="preserve">4.2 Fixed and Mobile Industrial Robot Cells</w:t>
      </w:r>
    </w:p>
    <w:p>
      <w:pPr>
        <w:spacing w:after="200" w:line="300"/>
        <w:jc w:val="both"/>
      </w:pPr>
      <w:r>
        <w:rPr>
          <w:rFonts w:ascii="Calibri" w:cs="Calibri" w:eastAsia="Calibri" w:hAnsi="Calibri"/>
          <w:sz w:val="22"/>
          <w:szCs w:val="22"/>
        </w:rPr>
        <w:t xml:space="preserve">Industry technical reports describe pilot deployments in which stationary robot arms and robotic logistics cells are connected via private 5G rather than fixed cabling, citing gains in reconfigurability (robots and cells can be moved without rewiring), remote assistance and diagnostics, and reduced cabling and maintenance costs, alongside challenges from radio blind spots and the bandwidth ceilings of legacy 3G/4G/Wi-Fi alternatives.</w:t>
      </w:r>
    </w:p>
    <w:p>
      <w:pPr>
        <w:pStyle w:val="Heading2"/>
        <w:spacing w:after="120" w:before="240"/>
      </w:pPr>
      <w:r>
        <w:t xml:space="preserve">4.3 Traffic Scheduling and Coordination of Robot Fleets</w:t>
      </w:r>
    </w:p>
    <w:p>
      <w:pPr>
        <w:spacing w:after="200" w:line="300"/>
        <w:jc w:val="both"/>
      </w:pPr>
      <w:r>
        <w:rPr>
          <w:rFonts w:ascii="Calibri" w:cs="Calibri" w:eastAsia="Calibri" w:hAnsi="Calibri"/>
          <w:sz w:val="22"/>
          <w:szCs w:val="22"/>
        </w:rPr>
        <w:t xml:space="preserve">More recent technical work addresses network-layer scheduling problems that arise once many robots share a 5G cell, including algorithms for allocating bandwidth and minimizing worst-case network utilization across a fleet of industrial robots with heterogeneous traffic priorities, and dynamic slice-management frameworks for multi-subtask IIoT scenarios such as remote robotic inspection and repair, where each subtask (scanning, defect detection, path generation, milling, monitoring) has distinct QoS requirements.</w:t>
      </w:r>
    </w:p>
    <w:p>
      <w:pPr>
        <w:pStyle w:val="Heading1"/>
        <w:spacing w:after="160" w:before="320"/>
      </w:pPr>
      <w:r>
        <w:t xml:space="preserve">5. Challenges Identified in the Literature</w:t>
      </w:r>
    </w:p>
    <w:p>
      <w:pPr>
        <w:spacing w:after="200" w:line="300"/>
        <w:jc w:val="both"/>
      </w:pPr>
      <w:r>
        <w:rPr>
          <w:rFonts w:ascii="Calibri" w:cs="Calibri" w:eastAsia="Calibri" w:hAnsi="Calibri"/>
          <w:sz w:val="22"/>
          <w:szCs w:val="22"/>
        </w:rPr>
        <w:t xml:space="preserve">Across the reviewed sources, four categories of challenge recur consistently:</w:t>
      </w:r>
    </w:p>
    <w:p>
      <w:pPr>
        <w:pStyle w:val="ListParagraph"/>
        <w:numPr>
          <w:ilvl w:val="0"/>
          <w:numId w:val="2"/>
        </w:numPr>
        <w:spacing w:after="100" w:line="300"/>
      </w:pPr>
      <w:r>
        <w:rPr>
          <w:rFonts w:ascii="Calibri" w:cs="Calibri" w:eastAsia="Calibri" w:hAnsi="Calibri"/>
          <w:sz w:val="22"/>
          <w:szCs w:val="22"/>
        </w:rPr>
        <w:t xml:space="preserve">Latency and reliability at scale — Several surveys note that meeting strict URLLC targets is comparatively tractable in controlled, single-hop link-layer settings, but becomes substantially harder end-to-end across multi-hop, wide-area, or multi-vendor networks, and that inaccurate propagation/path-loss modeling of real factory environments can cause simulated performance to overstate what is achievable on the shop floor.</w:t>
      </w:r>
    </w:p>
    <w:p>
      <w:pPr>
        <w:pStyle w:val="ListParagraph"/>
        <w:numPr>
          <w:ilvl w:val="0"/>
          <w:numId w:val="2"/>
        </w:numPr>
        <w:spacing w:after="100" w:line="300"/>
      </w:pPr>
      <w:r>
        <w:rPr>
          <w:rFonts w:ascii="Calibri" w:cs="Calibri" w:eastAsia="Calibri" w:hAnsi="Calibri"/>
          <w:sz w:val="22"/>
          <w:szCs w:val="22"/>
        </w:rPr>
        <w:t xml:space="preserve">Trade-offs between traffic classes — Because eMBB and URLLC traffic compete for shared radio resources, optimizing for one is repeatedly shown to degrade the other, which complicates the design of factories that need both high-bandwidth video/analytics traffic and low-latency control traffic on the same network.</w:t>
      </w:r>
    </w:p>
    <w:p>
      <w:pPr>
        <w:pStyle w:val="ListParagraph"/>
        <w:numPr>
          <w:ilvl w:val="0"/>
          <w:numId w:val="2"/>
        </w:numPr>
        <w:spacing w:after="100" w:line="300"/>
      </w:pPr>
      <w:r>
        <w:rPr>
          <w:rFonts w:ascii="Calibri" w:cs="Calibri" w:eastAsia="Calibri" w:hAnsi="Calibri"/>
          <w:sz w:val="22"/>
          <w:szCs w:val="22"/>
        </w:rPr>
        <w:t xml:space="preserve">Cost and return on investment — Private 5G deployment requires significant upfront capital and specialized integration expertise; recent techno-economic analyses point to a lack of standardized ROI frameworks as a key reason adoption has been slower than the technology's capabilities would suggest.</w:t>
      </w:r>
    </w:p>
    <w:p>
      <w:pPr>
        <w:pStyle w:val="ListParagraph"/>
        <w:numPr>
          <w:ilvl w:val="0"/>
          <w:numId w:val="2"/>
        </w:numPr>
        <w:spacing w:after="100" w:line="300"/>
      </w:pPr>
      <w:r>
        <w:rPr>
          <w:rFonts w:ascii="Calibri" w:cs="Calibri" w:eastAsia="Calibri" w:hAnsi="Calibri"/>
          <w:sz w:val="22"/>
          <w:szCs w:val="22"/>
        </w:rPr>
        <w:t xml:space="preserve">Security of virtualized and sliced infrastructure — The SDN/NFV components that make network slicing possible also expand the attack surface, and recent surveys catalogue slicing-specific threats to confidentiality, integrity, and availability, arguing for layered, architecture-aware mitigation strategies rather than treating 5G security as a simple extension of prior cellular generations.</w:t>
      </w:r>
    </w:p>
    <w:p>
      <w:pPr>
        <w:pStyle w:val="Heading1"/>
        <w:spacing w:after="160" w:before="320"/>
      </w:pPr>
      <w:r>
        <w:t xml:space="preserve">6. Discussion</w:t>
      </w:r>
    </w:p>
    <w:p>
      <w:pPr>
        <w:spacing w:after="200" w:line="300"/>
        <w:jc w:val="both"/>
      </w:pPr>
      <w:r>
        <w:rPr>
          <w:rFonts w:ascii="Calibri" w:cs="Calibri" w:eastAsia="Calibri" w:hAnsi="Calibri"/>
          <w:sz w:val="22"/>
          <w:szCs w:val="22"/>
        </w:rPr>
        <w:t xml:space="preserve">Taken together, the reviewed literature indicates that the technical case for 5G-enabled robotic automation is well established: URLLC, network slicing, MEC, and TSN integration collectively address the latency, reliability, and flexibility limitations of wired and Wi-Fi-based industrial networks, and multiple pilot studies (AGV control, remote robotic repair, robot-cell reconfiguration) demonstrate feasibility. What is less settled is the operational and economic case. Studies from 2024–2025 shift noticeably in emphasis from 'can 5G meet the technical requirements' toward 'is 5G economically justified,' reflecting a maturing field in which the core radio and networking research questions are being progressively answered while deployment questions — cost, security, interoperability, and workforce readiness — remain comparatively open. This suggests that near-term research value lies less in further latency optimization and more in standardized techno-economic evaluation frameworks and field-validated security architectures for sliced industrial networks.</w:t>
      </w:r>
    </w:p>
    <w:p>
      <w:pPr>
        <w:pStyle w:val="Heading1"/>
        <w:spacing w:after="160" w:before="320"/>
      </w:pPr>
      <w:r>
        <w:t xml:space="preserve">7. Future Directions</w:t>
      </w:r>
    </w:p>
    <w:p>
      <w:pPr>
        <w:pStyle w:val="ListParagraph"/>
        <w:numPr>
          <w:ilvl w:val="0"/>
          <w:numId w:val="2"/>
        </w:numPr>
        <w:spacing w:after="100" w:line="300"/>
      </w:pPr>
      <w:r>
        <w:rPr>
          <w:rFonts w:ascii="Calibri" w:cs="Calibri" w:eastAsia="Calibri" w:hAnsi="Calibri"/>
          <w:sz w:val="22"/>
          <w:szCs w:val="22"/>
        </w:rPr>
        <w:t xml:space="preserve">Standardized techno-economic frameworks that let manufacturers compare 5G deployment options on a consistent cost/latency/reliability basis, extending the case-study-level analyses currently in the literature.</w:t>
      </w:r>
    </w:p>
    <w:p>
      <w:pPr>
        <w:pStyle w:val="ListParagraph"/>
        <w:numPr>
          <w:ilvl w:val="0"/>
          <w:numId w:val="2"/>
        </w:numPr>
        <w:spacing w:after="100" w:line="300"/>
      </w:pPr>
      <w:r>
        <w:rPr>
          <w:rFonts w:ascii="Calibri" w:cs="Calibri" w:eastAsia="Calibri" w:hAnsi="Calibri"/>
          <w:sz w:val="22"/>
          <w:szCs w:val="22"/>
        </w:rPr>
        <w:t xml:space="preserve">Field validation of network slicing and TSN–5G integration in real, multi-vendor factory environments rather than single-vendor testbeds or simulation.</w:t>
      </w:r>
    </w:p>
    <w:p>
      <w:pPr>
        <w:pStyle w:val="ListParagraph"/>
        <w:numPr>
          <w:ilvl w:val="0"/>
          <w:numId w:val="2"/>
        </w:numPr>
        <w:spacing w:after="100" w:line="300"/>
      </w:pPr>
      <w:r>
        <w:rPr>
          <w:rFonts w:ascii="Calibri" w:cs="Calibri" w:eastAsia="Calibri" w:hAnsi="Calibri"/>
          <w:sz w:val="22"/>
          <w:szCs w:val="22"/>
        </w:rPr>
        <w:t xml:space="preserve">Security-by-design approaches for sliced, virtualized industrial networks, given the expanded attack surface introduced by SDN/NFV components.</w:t>
      </w:r>
    </w:p>
    <w:p>
      <w:pPr>
        <w:pStyle w:val="ListParagraph"/>
        <w:numPr>
          <w:ilvl w:val="0"/>
          <w:numId w:val="2"/>
        </w:numPr>
        <w:spacing w:after="100" w:line="300"/>
      </w:pPr>
      <w:r>
        <w:rPr>
          <w:rFonts w:ascii="Calibri" w:cs="Calibri" w:eastAsia="Calibri" w:hAnsi="Calibri"/>
          <w:sz w:val="22"/>
          <w:szCs w:val="22"/>
        </w:rPr>
        <w:t xml:space="preserve">Convergence with AI/ML for predictive network management and with digital-twin architectures, an emerging theme in the URLLC and beyond-5G literature.</w:t>
      </w:r>
    </w:p>
    <w:p>
      <w:pPr>
        <w:pStyle w:val="ListParagraph"/>
        <w:numPr>
          <w:ilvl w:val="0"/>
          <w:numId w:val="2"/>
        </w:numPr>
        <w:spacing w:after="100" w:line="300"/>
      </w:pPr>
      <w:r>
        <w:rPr>
          <w:rFonts w:ascii="Calibri" w:cs="Calibri" w:eastAsia="Calibri" w:hAnsi="Calibri"/>
          <w:sz w:val="22"/>
          <w:szCs w:val="22"/>
        </w:rPr>
        <w:t xml:space="preserve">Positioning relative to 6G and Industry 5.0, where reviewed forward-looking papers anticipate human-centric, more autonomous, self-organizing robotic systems built on further reductions in latency and increases in connection density.</w:t>
      </w:r>
    </w:p>
    <w:p>
      <w:pPr>
        <w:pStyle w:val="Heading1"/>
        <w:spacing w:after="160" w:before="320"/>
      </w:pPr>
      <w:r>
        <w:t xml:space="preserve">8. Conclusion</w:t>
      </w:r>
    </w:p>
    <w:p>
      <w:pPr>
        <w:spacing w:after="200" w:line="300"/>
        <w:jc w:val="both"/>
      </w:pPr>
      <w:r>
        <w:rPr>
          <w:rFonts w:ascii="Calibri" w:cs="Calibri" w:eastAsia="Calibri" w:hAnsi="Calibri"/>
          <w:sz w:val="22"/>
          <w:szCs w:val="22"/>
        </w:rPr>
        <w:t xml:space="preserve">The literature reviewed here supports the conclusion that 5G communication is a credible and, in several demonstrated cases, proven enabler of robotic automation within Industry 4.0, particularly through URLLC, network slicing, and edge computing. Reported pilots in AGV control, robotic cells, and IIoT repair scenarios show that the core technical requirements can be met. However, the same body of work makes clear that widespread industrial adoption is currently gated less by unresolved radio-layer research questions and more by cost, security, and integration challenges. Future work that addresses these operational barriers — alongside continued technical refinement — is likely to determine how quickly 5G-enabled robotic automation moves from pilot deployments to standard industrial practice.</w:t>
      </w:r>
    </w:p>
    <w:p>
      <w:pPr>
        <w:pStyle w:val="Heading1"/>
        <w:spacing w:after="160" w:before="320"/>
      </w:pPr>
      <w:r>
        <w:t xml:space="preserve">References</w:t>
      </w:r>
    </w:p>
    <w:p>
      <w:pPr>
        <w:spacing w:after="140" w:line="276"/>
        <w:ind w:left="576" w:hanging="576"/>
      </w:pPr>
      <w:r>
        <w:rPr>
          <w:rFonts w:ascii="Calibri" w:cs="Calibri" w:eastAsia="Calibri" w:hAnsi="Calibri"/>
          <w:sz w:val="20"/>
          <w:szCs w:val="20"/>
        </w:rPr>
        <w:t xml:space="preserve">Aleksy, M., Dai, F., Enayati, N., Rost, P., &amp; Pocovi, G. (2019). Utilizing 5G in industrial robotic applications. In 2019 7th International Conference on Future Internet of Things and Cloud (FiCloud) (pp. 278–284). IEEE.</w:t>
      </w:r>
    </w:p>
    <w:p>
      <w:pPr>
        <w:spacing w:after="140" w:line="276"/>
        <w:ind w:left="576" w:hanging="576"/>
      </w:pPr>
      <w:r>
        <w:rPr>
          <w:rFonts w:ascii="Calibri" w:cs="Calibri" w:eastAsia="Calibri" w:hAnsi="Calibri"/>
          <w:sz w:val="20"/>
          <w:szCs w:val="20"/>
        </w:rPr>
        <w:t xml:space="preserve">Rao, S. K., &amp; Prasad, R. (2018). Impact of 5G technologies on Industry 4.0. Wireless Personal Communications, 100(1), 145–159.</w:t>
      </w:r>
    </w:p>
    <w:p>
      <w:pPr>
        <w:spacing w:after="140" w:line="276"/>
        <w:ind w:left="576" w:hanging="576"/>
      </w:pPr>
      <w:r>
        <w:rPr>
          <w:rFonts w:ascii="Calibri" w:cs="Calibri" w:eastAsia="Calibri" w:hAnsi="Calibri"/>
          <w:sz w:val="20"/>
          <w:szCs w:val="20"/>
        </w:rPr>
        <w:t xml:space="preserve">3GPP. (2019). Technical Specification Group Services and System Aspects; Service requirements for cyber-physical control applications in vertical domains (Stage 1) (TR 22.104, V16.1.0).</w:t>
      </w:r>
    </w:p>
    <w:p>
      <w:pPr>
        <w:spacing w:after="140" w:line="276"/>
        <w:ind w:left="576" w:hanging="576"/>
      </w:pPr>
      <w:r>
        <w:rPr>
          <w:rFonts w:ascii="Calibri" w:cs="Calibri" w:eastAsia="Calibri" w:hAnsi="Calibri"/>
          <w:sz w:val="20"/>
          <w:szCs w:val="20"/>
        </w:rPr>
        <w:t xml:space="preserve">Ansah, F., Majumder, M., de Meer, H., &amp; Jasperneite, J. (2019). Network slicing: An industry perspective. In 2019 24th IEEE International Conference on Emerging Technologies and Factory Automation (ETFA) (pp. 1367–1370).</w:t>
      </w:r>
    </w:p>
    <w:p>
      <w:pPr>
        <w:spacing w:after="140" w:line="276"/>
        <w:ind w:left="576" w:hanging="576"/>
      </w:pPr>
      <w:r>
        <w:rPr>
          <w:rFonts w:ascii="Calibri" w:cs="Calibri" w:eastAsia="Calibri" w:hAnsi="Calibri"/>
          <w:sz w:val="20"/>
          <w:szCs w:val="20"/>
        </w:rPr>
        <w:t xml:space="preserve">Economic feasibility of 5G-based autonomous mobile robots solutions for Industry 4.0. (2024). Preprint / ResearchGate.</w:t>
      </w:r>
    </w:p>
    <w:p>
      <w:pPr>
        <w:spacing w:after="140" w:line="276"/>
        <w:ind w:left="576" w:hanging="576"/>
      </w:pPr>
      <w:r>
        <w:rPr>
          <w:rFonts w:ascii="Calibri" w:cs="Calibri" w:eastAsia="Calibri" w:hAnsi="Calibri"/>
          <w:sz w:val="20"/>
          <w:szCs w:val="20"/>
        </w:rPr>
        <w:t xml:space="preserve">Role of 5G in industrial automation and robotics. (2022/2025). ResearchGate.</w:t>
      </w:r>
    </w:p>
    <w:p>
      <w:pPr>
        <w:spacing w:after="140" w:line="276"/>
        <w:ind w:left="576" w:hanging="576"/>
      </w:pPr>
      <w:r>
        <w:rPr>
          <w:rFonts w:ascii="Calibri" w:cs="Calibri" w:eastAsia="Calibri" w:hAnsi="Calibri"/>
          <w:sz w:val="20"/>
          <w:szCs w:val="20"/>
        </w:rPr>
        <w:t xml:space="preserve">A comprehensive survey of 5G URLLC and challenges in the 6G era. (2025). arXiv:2508.20205.</w:t>
      </w:r>
    </w:p>
    <w:p>
      <w:pPr>
        <w:spacing w:after="140" w:line="276"/>
        <w:ind w:left="576" w:hanging="576"/>
      </w:pPr>
      <w:r>
        <w:rPr>
          <w:rFonts w:ascii="Calibri" w:cs="Calibri" w:eastAsia="Calibri" w:hAnsi="Calibri"/>
          <w:sz w:val="20"/>
          <w:szCs w:val="20"/>
        </w:rPr>
        <w:t xml:space="preserve">Network slicing for ultra-reliable low latency communication in Industry 4.0 scenarios. (2017). arXiv:1708.09132.</w:t>
      </w:r>
    </w:p>
    <w:p>
      <w:pPr>
        <w:spacing w:after="140" w:line="276"/>
        <w:ind w:left="576" w:hanging="576"/>
      </w:pPr>
      <w:r>
        <w:rPr>
          <w:rFonts w:ascii="Calibri" w:cs="Calibri" w:eastAsia="Calibri" w:hAnsi="Calibri"/>
          <w:sz w:val="20"/>
          <w:szCs w:val="20"/>
        </w:rPr>
        <w:t xml:space="preserve">Software-defined dynamic 5G network slice management for Industrial Internet of Things. (2022). arXiv:2207.07219.</w:t>
      </w:r>
    </w:p>
    <w:p>
      <w:pPr>
        <w:spacing w:after="140" w:line="276"/>
        <w:ind w:left="576" w:hanging="576"/>
      </w:pPr>
      <w:r>
        <w:rPr>
          <w:rFonts w:ascii="Calibri" w:cs="Calibri" w:eastAsia="Calibri" w:hAnsi="Calibri"/>
          <w:sz w:val="20"/>
          <w:szCs w:val="20"/>
        </w:rPr>
        <w:t xml:space="preserve">5G network slicing: Security challenges, attack vectors, and mitigation approaches. (2024). PMC.</w:t>
      </w:r>
    </w:p>
    <w:p>
      <w:pPr>
        <w:spacing w:after="140" w:line="276"/>
        <w:ind w:left="576" w:hanging="576"/>
      </w:pPr>
      <w:r>
        <w:rPr>
          <w:rFonts w:ascii="Calibri" w:cs="Calibri" w:eastAsia="Calibri" w:hAnsi="Calibri"/>
          <w:sz w:val="20"/>
          <w:szCs w:val="20"/>
        </w:rPr>
        <w:t xml:space="preserve">URLLC for 6G-enabled Industry 5.0: A taxonomy of architectures, cross-layer techniques, and time-critical applications. (2025). arXiv:2510.08080.</w:t>
      </w:r>
    </w:p>
    <w:p>
      <w:pPr>
        <w:spacing w:after="140" w:line="276"/>
        <w:ind w:left="576" w:hanging="576"/>
      </w:pPr>
      <w:r>
        <w:rPr>
          <w:rFonts w:ascii="Calibri" w:cs="Calibri" w:eastAsia="Calibri" w:hAnsi="Calibri"/>
          <w:sz w:val="20"/>
          <w:szCs w:val="20"/>
        </w:rPr>
        <w:t xml:space="preserve">The duo of artificial intelligence and big data for Industry 4.0: Review of applications, techniques, challenges, and future research directions. (2021). arXiv:2104.02425.</w:t>
      </w:r>
    </w:p>
    <w:p>
      <w:pPr>
        <w:spacing w:after="140" w:line="276"/>
        <w:ind w:left="576" w:hanging="576"/>
      </w:pPr>
      <w:r>
        <w:rPr>
          <w:rFonts w:ascii="Calibri" w:cs="Calibri" w:eastAsia="Calibri" w:hAnsi="Calibri"/>
          <w:sz w:val="20"/>
          <w:szCs w:val="20"/>
        </w:rPr>
        <w:t xml:space="preserve">The shift to 6G communications: Vision and requirements. (2020). arXiv:2010.07993.</w:t>
      </w:r>
    </w:p>
    <w:p>
      <w:pPr>
        <w:spacing w:after="140" w:line="276"/>
        <w:ind w:left="576" w:hanging="576"/>
      </w:pPr>
      <w:r>
        <w:rPr>
          <w:rFonts w:ascii="Calibri" w:cs="Calibri" w:eastAsia="Calibri" w:hAnsi="Calibri"/>
          <w:sz w:val="20"/>
          <w:szCs w:val="20"/>
        </w:rPr>
        <w:t xml:space="preserve">6G communications: A vision on the potential applications. (2020). arXiv:2005.07531.</w:t>
      </w:r>
    </w:p>
    <w:p>
      <w:pPr>
        <w:spacing w:after="140" w:line="276"/>
        <w:ind w:left="576" w:hanging="576"/>
      </w:pPr>
      <w:r>
        <w:rPr>
          <w:rFonts w:ascii="Calibri" w:cs="Calibri" w:eastAsia="Calibri" w:hAnsi="Calibri"/>
          <w:sz w:val="20"/>
          <w:szCs w:val="20"/>
        </w:rPr>
        <w:t xml:space="preserve">A minmax utilization algorithm for network traffic scheduling of industrial robots. (2021). arXiv:2111.01413.</w:t>
      </w:r>
    </w:p>
    <w:p>
      <w:pPr>
        <w:spacing w:after="140" w:line="276"/>
        <w:ind w:left="576" w:hanging="576"/>
      </w:pPr>
      <w:r>
        <w:rPr>
          <w:rFonts w:ascii="Calibri" w:cs="Calibri" w:eastAsia="Calibri" w:hAnsi="Calibri"/>
          <w:sz w:val="20"/>
          <w:szCs w:val="20"/>
        </w:rPr>
        <w:t xml:space="preserve">Ericsson. Robotics and industrial automation enabled by 5G. Ericsson Technology Review.</w:t>
      </w:r>
    </w:p>
    <w:p>
      <w:pPr>
        <w:spacing w:after="140" w:line="276"/>
        <w:ind w:left="576" w:hanging="576"/>
      </w:pPr>
      <w:r>
        <w:rPr>
          <w:rFonts w:ascii="Calibri" w:cs="Calibri" w:eastAsia="Calibri" w:hAnsi="Calibri"/>
          <w:sz w:val="20"/>
          <w:szCs w:val="20"/>
        </w:rPr>
        <w:t xml:space="preserve">Robotnik. 5G benefits for Industry 4.0. Robotnik R&amp;D.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2026-09-01T04:38:36.378Z</dcterms:created>
  <dcterms:modified xsi:type="dcterms:W3CDTF">2026-09-01T04:38:36.396Z</dcterms:modified>
</cp:coreProperties>
</file>

<file path=docProps/custom.xml><?xml version="1.0" encoding="utf-8"?>
<Properties xmlns="http://schemas.openxmlformats.org/officeDocument/2006/custom-properties" xmlns:vt="http://schemas.openxmlformats.org/officeDocument/2006/docPropsVTypes"/>
</file>