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Week 4 Task: Predictive Modeling and Optimization in Logistics Systems</w:t>
      </w:r>
    </w:p>
    <w:p>
      <w:pPr>
        <w:jc w:val="center"/>
      </w:pPr>
      <w:r>
        <w:t>Logistics Data Analyst Internship</w:t>
        <w:br/>
        <w:t>Prepared by: Sri Lakshmi</w:t>
      </w:r>
    </w:p>
    <w:p>
      <w:pPr>
        <w:pStyle w:val="Heading1"/>
      </w:pPr>
      <w:r>
        <w:t>1. Objective</w:t>
      </w:r>
    </w:p>
    <w:p>
      <w:r>
        <w:t>Build a predictive model to forecast logistics delivery time and use the prediction to support optimization decisions.</w:t>
      </w:r>
    </w:p>
    <w:p>
      <w:pPr>
        <w:pStyle w:val="Heading1"/>
      </w:pPr>
      <w:r>
        <w:t>2. Problem Definition and Data Simulation</w:t>
      </w:r>
    </w:p>
    <w:p>
      <w:r>
        <w:t>A hypothetical dataset of 400 shipment records was generated with a fixed random seed. Features are shipment mode, distance, shipment weight, transportation cost and inventory level. The target is delivery time in days. The dataset is illustrative and does not represent real company operations.</w:t>
      </w:r>
    </w:p>
    <w:p>
      <w:pPr>
        <w:pStyle w:val="Heading1"/>
      </w:pPr>
      <w:r>
        <w:t>3. Model Selection and Implementation</w:t>
      </w:r>
    </w:p>
    <w:p>
      <w:r>
        <w:t>Linear Regression, Decision Tree Regressor and Random Forest Regressor were implemented. Shipment mode was one-hot encoded and the data was divided into 80% training and 20% testing sets using random_state=42.</w:t>
      </w:r>
    </w:p>
    <w:p>
      <w:pPr>
        <w:pStyle w:val="Heading1"/>
      </w:pPr>
      <w:r>
        <w:t>4. Evaluation Results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Model</w:t>
            </w:r>
          </w:p>
        </w:tc>
        <w:tc>
          <w:tcPr>
            <w:tcW w:type="dxa" w:w="2160"/>
          </w:tcPr>
          <w:p>
            <w:r>
              <w:t>MAE</w:t>
            </w:r>
          </w:p>
        </w:tc>
        <w:tc>
          <w:tcPr>
            <w:tcW w:type="dxa" w:w="2160"/>
          </w:tcPr>
          <w:p>
            <w:r>
              <w:t>RMSE</w:t>
            </w:r>
          </w:p>
        </w:tc>
        <w:tc>
          <w:tcPr>
            <w:tcW w:type="dxa" w:w="2160"/>
          </w:tcPr>
          <w:p>
            <w:r>
              <w:t>R²</w:t>
            </w:r>
          </w:p>
        </w:tc>
      </w:tr>
      <w:tr>
        <w:tc>
          <w:tcPr>
            <w:tcW w:type="dxa" w:w="2160"/>
          </w:tcPr>
          <w:p>
            <w:r>
              <w:t>Linear Regression</w:t>
            </w:r>
          </w:p>
        </w:tc>
        <w:tc>
          <w:tcPr>
            <w:tcW w:type="dxa" w:w="2160"/>
          </w:tcPr>
          <w:p>
            <w:r>
              <w:t>2.005</w:t>
            </w:r>
          </w:p>
        </w:tc>
        <w:tc>
          <w:tcPr>
            <w:tcW w:type="dxa" w:w="2160"/>
          </w:tcPr>
          <w:p>
            <w:r>
              <w:t>2.596</w:t>
            </w:r>
          </w:p>
        </w:tc>
        <w:tc>
          <w:tcPr>
            <w:tcW w:type="dxa" w:w="2160"/>
          </w:tcPr>
          <w:p>
            <w:r>
              <w:t>0.977</w:t>
            </w:r>
          </w:p>
        </w:tc>
      </w:tr>
      <w:tr>
        <w:tc>
          <w:tcPr>
            <w:tcW w:type="dxa" w:w="2160"/>
          </w:tcPr>
          <w:p>
            <w:r>
              <w:t>Decision Tree</w:t>
            </w:r>
          </w:p>
        </w:tc>
        <w:tc>
          <w:tcPr>
            <w:tcW w:type="dxa" w:w="2160"/>
          </w:tcPr>
          <w:p>
            <w:r>
              <w:t>1.008</w:t>
            </w:r>
          </w:p>
        </w:tc>
        <w:tc>
          <w:tcPr>
            <w:tcW w:type="dxa" w:w="2160"/>
          </w:tcPr>
          <w:p>
            <w:r>
              <w:t>1.389</w:t>
            </w:r>
          </w:p>
        </w:tc>
        <w:tc>
          <w:tcPr>
            <w:tcW w:type="dxa" w:w="2160"/>
          </w:tcPr>
          <w:p>
            <w:r>
              <w:t>0.993</w:t>
            </w:r>
          </w:p>
        </w:tc>
      </w:tr>
      <w:tr>
        <w:tc>
          <w:tcPr>
            <w:tcW w:type="dxa" w:w="2160"/>
          </w:tcPr>
          <w:p>
            <w:r>
              <w:t>Random Forest</w:t>
            </w:r>
          </w:p>
        </w:tc>
        <w:tc>
          <w:tcPr>
            <w:tcW w:type="dxa" w:w="2160"/>
          </w:tcPr>
          <w:p>
            <w:r>
              <w:t>0.812</w:t>
            </w:r>
          </w:p>
        </w:tc>
        <w:tc>
          <w:tcPr>
            <w:tcW w:type="dxa" w:w="2160"/>
          </w:tcPr>
          <w:p>
            <w:r>
              <w:t>1.104</w:t>
            </w:r>
          </w:p>
        </w:tc>
        <w:tc>
          <w:tcPr>
            <w:tcW w:type="dxa" w:w="2160"/>
          </w:tcPr>
          <w:p>
            <w:r>
              <w:t>0.996</w:t>
            </w:r>
          </w:p>
        </w:tc>
      </w:tr>
    </w:tbl>
    <w:p>
      <w:r>
        <w:t>The held-out test set shows that Random Forest has the lowest RMSE among the tested models. Metrics are illustrative because the dataset is simulated.</w:t>
      </w:r>
    </w:p>
    <w:p>
      <w:r>
        <w:drawing>
          <wp:inline xmlns:a="http://schemas.openxmlformats.org/drawingml/2006/main" xmlns:pic="http://schemas.openxmlformats.org/drawingml/2006/picture">
            <wp:extent cx="5303520" cy="3788229"/>
            <wp:docPr id="1" name="Picture 1"/>
            <wp:cNvGraphicFramePr>
              <a:graphicFrameLocks noChangeAspect="1"/>
            </wp:cNvGraphicFramePr>
            <a:graphic>
              <a:graphicData uri="http://schemas.openxmlformats.org/drawingml/2006/picture">
                <pic:pic>
                  <pic:nvPicPr>
                    <pic:cNvPr id="0" name="week4_actual_vs_predicted.png"/>
                    <pic:cNvPicPr/>
                  </pic:nvPicPr>
                  <pic:blipFill>
                    <a:blip r:embed="rId9"/>
                    <a:stretch>
                      <a:fillRect/>
                    </a:stretch>
                  </pic:blipFill>
                  <pic:spPr>
                    <a:xfrm>
                      <a:off x="0" y="0"/>
                      <a:ext cx="5303520" cy="3788229"/>
                    </a:xfrm>
                    <a:prstGeom prst="rect"/>
                  </pic:spPr>
                </pic:pic>
              </a:graphicData>
            </a:graphic>
          </wp:inline>
        </w:drawing>
      </w:r>
    </w:p>
    <w:p>
      <w:r>
        <w:drawing>
          <wp:inline xmlns:a="http://schemas.openxmlformats.org/drawingml/2006/main" xmlns:pic="http://schemas.openxmlformats.org/drawingml/2006/picture">
            <wp:extent cx="5303520" cy="3788229"/>
            <wp:docPr id="2" name="Picture 2"/>
            <wp:cNvGraphicFramePr>
              <a:graphicFrameLocks noChangeAspect="1"/>
            </wp:cNvGraphicFramePr>
            <a:graphic>
              <a:graphicData uri="http://schemas.openxmlformats.org/drawingml/2006/picture">
                <pic:pic>
                  <pic:nvPicPr>
                    <pic:cNvPr id="0" name="week4_model_comparison.png"/>
                    <pic:cNvPicPr/>
                  </pic:nvPicPr>
                  <pic:blipFill>
                    <a:blip r:embed="rId10"/>
                    <a:stretch>
                      <a:fillRect/>
                    </a:stretch>
                  </pic:blipFill>
                  <pic:spPr>
                    <a:xfrm>
                      <a:off x="0" y="0"/>
                      <a:ext cx="5303520" cy="3788229"/>
                    </a:xfrm>
                    <a:prstGeom prst="rect"/>
                  </pic:spPr>
                </pic:pic>
              </a:graphicData>
            </a:graphic>
          </wp:inline>
        </w:drawing>
      </w:r>
    </w:p>
    <w:p>
      <w:pPr>
        <w:pStyle w:val="Heading1"/>
      </w:pPr>
      <w:r>
        <w:t>5. Cross-Validation</w:t>
      </w:r>
    </w:p>
    <w:tbl>
      <w:tblPr>
        <w:tblStyle w:val="TableGrid"/>
        <w:tblW w:type="auto" w:w="0"/>
        <w:tblLook w:firstColumn="1" w:firstRow="1" w:lastColumn="0" w:lastRow="0" w:noHBand="0" w:noVBand="1" w:val="04A0"/>
      </w:tblPr>
      <w:tblGrid>
        <w:gridCol w:w="2880"/>
        <w:gridCol w:w="2880"/>
        <w:gridCol w:w="2880"/>
      </w:tblGrid>
      <w:tr>
        <w:tc>
          <w:tcPr>
            <w:tcW w:type="dxa" w:w="2880"/>
          </w:tcPr>
          <w:p>
            <w:r>
              <w:t>Model</w:t>
            </w:r>
          </w:p>
        </w:tc>
        <w:tc>
          <w:tcPr>
            <w:tcW w:type="dxa" w:w="2880"/>
          </w:tcPr>
          <w:p>
            <w:r>
              <w:t>5-Fold CV MAE</w:t>
            </w:r>
          </w:p>
        </w:tc>
        <w:tc>
          <w:tcPr>
            <w:tcW w:type="dxa" w:w="2880"/>
          </w:tcPr>
          <w:p>
            <w:r>
              <w:t>5-Fold CV R²</w:t>
            </w:r>
          </w:p>
        </w:tc>
      </w:tr>
      <w:tr>
        <w:tc>
          <w:tcPr>
            <w:tcW w:type="dxa" w:w="2880"/>
          </w:tcPr>
          <w:p>
            <w:r>
              <w:t>Linear Regression</w:t>
            </w:r>
          </w:p>
        </w:tc>
        <w:tc>
          <w:tcPr>
            <w:tcW w:type="dxa" w:w="2880"/>
          </w:tcPr>
          <w:p>
            <w:r>
              <w:t>1.956</w:t>
            </w:r>
          </w:p>
        </w:tc>
        <w:tc>
          <w:tcPr>
            <w:tcW w:type="dxa" w:w="2880"/>
          </w:tcPr>
          <w:p>
            <w:r>
              <w:t>0.970</w:t>
            </w:r>
          </w:p>
        </w:tc>
      </w:tr>
      <w:tr>
        <w:tc>
          <w:tcPr>
            <w:tcW w:type="dxa" w:w="2880"/>
          </w:tcPr>
          <w:p>
            <w:r>
              <w:t>Decision Tree</w:t>
            </w:r>
          </w:p>
        </w:tc>
        <w:tc>
          <w:tcPr>
            <w:tcW w:type="dxa" w:w="2880"/>
          </w:tcPr>
          <w:p>
            <w:r>
              <w:t>1.057</w:t>
            </w:r>
          </w:p>
        </w:tc>
        <w:tc>
          <w:tcPr>
            <w:tcW w:type="dxa" w:w="2880"/>
          </w:tcPr>
          <w:p>
            <w:r>
              <w:t>0.991</w:t>
            </w:r>
          </w:p>
        </w:tc>
      </w:tr>
      <w:tr>
        <w:tc>
          <w:tcPr>
            <w:tcW w:type="dxa" w:w="2880"/>
          </w:tcPr>
          <w:p>
            <w:r>
              <w:t>Random Forest</w:t>
            </w:r>
          </w:p>
        </w:tc>
        <w:tc>
          <w:tcPr>
            <w:tcW w:type="dxa" w:w="2880"/>
          </w:tcPr>
          <w:p>
            <w:r>
              <w:t>0.794</w:t>
            </w:r>
          </w:p>
        </w:tc>
        <w:tc>
          <w:tcPr>
            <w:tcW w:type="dxa" w:w="2880"/>
          </w:tcPr>
          <w:p>
            <w:r>
              <w:t>0.995</w:t>
            </w:r>
          </w:p>
        </w:tc>
      </w:tr>
    </w:tbl>
    <w:p>
      <w:r>
        <w:t>Five-fold cross-validation was used to check model consistency across multiple training and validation splits.</w:t>
      </w:r>
    </w:p>
    <w:p>
      <w:pPr>
        <w:pStyle w:val="Heading1"/>
      </w:pPr>
      <w:r>
        <w:t>6. Feature Importance</w:t>
      </w:r>
    </w:p>
    <w:p>
      <w:r>
        <w:t>Random Forest feature importance was examined to understand which variables contributed most to prediction within the simulated dataset. Importance is model-specific and does not imply causation.</w:t>
      </w:r>
    </w:p>
    <w:p>
      <w:r>
        <w:drawing>
          <wp:inline xmlns:a="http://schemas.openxmlformats.org/drawingml/2006/main" xmlns:pic="http://schemas.openxmlformats.org/drawingml/2006/picture">
            <wp:extent cx="5303520" cy="3788229"/>
            <wp:docPr id="3" name="Picture 3"/>
            <wp:cNvGraphicFramePr>
              <a:graphicFrameLocks noChangeAspect="1"/>
            </wp:cNvGraphicFramePr>
            <a:graphic>
              <a:graphicData uri="http://schemas.openxmlformats.org/drawingml/2006/picture">
                <pic:pic>
                  <pic:nvPicPr>
                    <pic:cNvPr id="0" name="week4_feature_importance.png"/>
                    <pic:cNvPicPr/>
                  </pic:nvPicPr>
                  <pic:blipFill>
                    <a:blip r:embed="rId11"/>
                    <a:stretch>
                      <a:fillRect/>
                    </a:stretch>
                  </pic:blipFill>
                  <pic:spPr>
                    <a:xfrm>
                      <a:off x="0" y="0"/>
                      <a:ext cx="5303520" cy="3788229"/>
                    </a:xfrm>
                    <a:prstGeom prst="rect"/>
                  </pic:spPr>
                </pic:pic>
              </a:graphicData>
            </a:graphic>
          </wp:inline>
        </w:drawing>
      </w:r>
    </w:p>
    <w:p>
      <w:pPr>
        <w:pStyle w:val="Heading1"/>
      </w:pPr>
      <w:r>
        <w:t>7. Optimization Strategy</w:t>
      </w:r>
    </w:p>
    <w:p>
      <w:r>
        <w:t>For a 900 km, 500 kg shipment with inventory level 400, shipment modes were compared under a transportation-cost budget of ₹2,500.</w:t>
      </w:r>
    </w:p>
    <w:tbl>
      <w:tblPr>
        <w:tblStyle w:val="TableGrid"/>
        <w:tblW w:type="auto" w:w="0"/>
        <w:tblLook w:firstColumn="1" w:firstRow="1" w:lastColumn="0" w:lastRow="0" w:noHBand="0" w:noVBand="1" w:val="04A0"/>
      </w:tblPr>
      <w:tblGrid>
        <w:gridCol w:w="2880"/>
        <w:gridCol w:w="2880"/>
        <w:gridCol w:w="2880"/>
      </w:tblGrid>
      <w:tr>
        <w:tc>
          <w:tcPr>
            <w:tcW w:type="dxa" w:w="2880"/>
          </w:tcPr>
          <w:p>
            <w:r>
              <w:t>Mode</w:t>
            </w:r>
          </w:p>
        </w:tc>
        <w:tc>
          <w:tcPr>
            <w:tcW w:type="dxa" w:w="2880"/>
          </w:tcPr>
          <w:p>
            <w:r>
              <w:t>Estimated Cost</w:t>
            </w:r>
          </w:p>
        </w:tc>
        <w:tc>
          <w:tcPr>
            <w:tcW w:type="dxa" w:w="2880"/>
          </w:tcPr>
          <w:p>
            <w:r>
              <w:t>Predicted Delivery (days)</w:t>
            </w:r>
          </w:p>
        </w:tc>
      </w:tr>
      <w:tr>
        <w:tc>
          <w:tcPr>
            <w:tcW w:type="dxa" w:w="2880"/>
          </w:tcPr>
          <w:p>
            <w:r>
              <w:t>Road</w:t>
            </w:r>
          </w:p>
        </w:tc>
        <w:tc>
          <w:tcPr>
            <w:tcW w:type="dxa" w:w="2880"/>
          </w:tcPr>
          <w:p>
            <w:r>
              <w:t>₹1,647.50</w:t>
            </w:r>
          </w:p>
        </w:tc>
        <w:tc>
          <w:tcPr>
            <w:tcW w:type="dxa" w:w="2880"/>
          </w:tcPr>
          <w:p>
            <w:r>
              <w:t>15.86</w:t>
            </w:r>
          </w:p>
        </w:tc>
      </w:tr>
      <w:tr>
        <w:tc>
          <w:tcPr>
            <w:tcW w:type="dxa" w:w="2880"/>
          </w:tcPr>
          <w:p>
            <w:r>
              <w:t>Air</w:t>
            </w:r>
          </w:p>
        </w:tc>
        <w:tc>
          <w:tcPr>
            <w:tcW w:type="dxa" w:w="2880"/>
          </w:tcPr>
          <w:p>
            <w:r>
              <w:t>₹5,877.50</w:t>
            </w:r>
          </w:p>
        </w:tc>
        <w:tc>
          <w:tcPr>
            <w:tcW w:type="dxa" w:w="2880"/>
          </w:tcPr>
          <w:p>
            <w:r>
              <w:t>2.88</w:t>
            </w:r>
          </w:p>
        </w:tc>
      </w:tr>
      <w:tr>
        <w:tc>
          <w:tcPr>
            <w:tcW w:type="dxa" w:w="2880"/>
          </w:tcPr>
          <w:p>
            <w:r>
              <w:t>Sea</w:t>
            </w:r>
          </w:p>
        </w:tc>
        <w:tc>
          <w:tcPr>
            <w:tcW w:type="dxa" w:w="2880"/>
          </w:tcPr>
          <w:p>
            <w:r>
              <w:t>₹1,017.50</w:t>
            </w:r>
          </w:p>
        </w:tc>
        <w:tc>
          <w:tcPr>
            <w:tcW w:type="dxa" w:w="2880"/>
          </w:tcPr>
          <w:p>
            <w:r>
              <w:t>28.41</w:t>
            </w:r>
          </w:p>
        </w:tc>
      </w:tr>
    </w:tbl>
    <w:p>
      <w:r>
        <w:t>Under this constraint, the selected feasible option is Road, because it has the lowest predicted delivery time among the feasible candidates. This is a simple heuristic rather than a full mathematical optimization model.</w:t>
      </w:r>
    </w:p>
    <w:p>
      <w:pPr>
        <w:pStyle w:val="Heading1"/>
      </w:pPr>
      <w:r>
        <w:t>8. Recommendations</w:t>
      </w:r>
    </w:p>
    <w:p>
      <w:pPr>
        <w:pStyle w:val="ListBullet"/>
      </w:pPr>
      <w:r>
        <w:t>Use predictions to flag potentially delayed shipments early.</w:t>
      </w:r>
    </w:p>
    <w:p>
      <w:pPr>
        <w:pStyle w:val="ListBullet"/>
      </w:pPr>
      <w:r>
        <w:t>Compare shipment modes using predicted time and transportation cost together.</w:t>
      </w:r>
    </w:p>
    <w:p>
      <w:pPr>
        <w:pStyle w:val="ListBullet"/>
      </w:pPr>
      <w:r>
        <w:t>Prioritize alternatives for shipments with strict delivery requirements.</w:t>
      </w:r>
    </w:p>
    <w:p>
      <w:pPr>
        <w:pStyle w:val="ListBullet"/>
      </w:pPr>
      <w:r>
        <w:t>Monitor important shipment variables as more operational data becomes available.</w:t>
      </w:r>
    </w:p>
    <w:p>
      <w:pPr>
        <w:pStyle w:val="ListBullet"/>
      </w:pPr>
      <w:r>
        <w:t>Retrain and validate the model periodically when real logistics data is collected.</w:t>
      </w:r>
    </w:p>
    <w:p>
      <w:pPr>
        <w:pStyle w:val="Heading1"/>
      </w:pPr>
      <w:r>
        <w:t>9. Conclusion</w:t>
      </w:r>
    </w:p>
    <w:p>
      <w:r>
        <w:t>The project demonstrates an end-to-end logistics predictive analytics workflow covering data simulation, model training, evaluation, cross-validation and cost-aware optimization. All records, costs and results are simulated for academic/internship demonstration.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