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YuvaIntern – Week 6</w:t>
        <w:br/>
        <w:t>Integrative Capstone Project and Evaluation</w:t>
      </w:r>
    </w:p>
    <w:p>
      <w:pPr>
        <w:jc w:val="center"/>
      </w:pPr>
      <w:r>
        <w:rPr>
          <w:b/>
        </w:rPr>
        <w:t>Breast Cancer Classification and Patient Pattern Analysis</w:t>
        <w:br/>
      </w:r>
      <w:r>
        <w:t>Integrated Data Science Pipeline using Python</w:t>
      </w:r>
    </w:p>
    <w:p>
      <w:pPr>
        <w:pStyle w:val="Heading1"/>
      </w:pPr>
      <w:r>
        <w:t>1. Problem Statement</w:t>
      </w:r>
    </w:p>
    <w:p>
      <w:r>
        <w:t>This capstone project demonstrates a complete Data Science workflow using a publicly available breast cancer diagnostic dataset. The project addresses two complementary questions: first, can observations be grouped into meaningful clusters based on their numerical characteristics without using the target label; and second, can a supervised model accurately classify observations into malignant or benign categories? The pipeline integrates data acquisition, cleaning, exploratory analysis, unsupervised learning, supervised learning, deep learning, evaluation, and interpretation.</w:t>
      </w:r>
    </w:p>
    <w:p>
      <w:pPr>
        <w:pStyle w:val="Heading1"/>
      </w:pPr>
      <w:r>
        <w:t>2. Data Collection and Dataset Description</w:t>
      </w:r>
    </w:p>
    <w:p>
      <w:r>
        <w:t>The project uses the publicly available Breast Cancer Wisconsin (Diagnostic) dataset distributed through scikit-learn. It contains 569 observations, 30 numerical diagnostic features, and a binary target. Features describe measurements derived from digitized images of fine-needle aspirate characteristics. The dataset is appropriate for an end-to-end learning exercise because it supports exploratory analysis, clustering, binary classification, and neural-network experimentation.</w:t>
      </w:r>
    </w:p>
    <w:p>
      <w:r>
        <w:t>Dataset dimensions: 569 rows × 31 columns. Missing values: 0. Duplicate rows: 0.</w:t>
      </w:r>
    </w:p>
    <w:p>
      <w:pPr>
        <w:pStyle w:val="Heading1"/>
      </w:pPr>
      <w:r>
        <w:t>3. Data Cleaning and Preprocessing</w:t>
      </w:r>
    </w:p>
    <w:p>
      <w:r>
        <w:t>The dataset was checked for missing values and duplicate records. Numerical variables were inspected for possible outliers using the interquartile range (IQR) rule. The analysis identified outlier cells that require attention because measurements can have different scales and distributions. Standardization was used before clustering and modeling so that features with larger numerical ranges would not dominate distance calculations or optimization.</w:t>
      </w:r>
    </w:p>
    <w:p>
      <w:r>
        <w:t>IQR screening identified 608 feature-level outlier cells across the numerical variables. For supervised and deep-learning evaluation, scaling was fitted only on the training subset to reduce data leakage.</w:t>
      </w:r>
    </w:p>
    <w:p>
      <w:pPr>
        <w:pStyle w:val="Heading1"/>
      </w:pPr>
      <w:r>
        <w:t>4. Exploratory Data Analysis</w:t>
      </w:r>
    </w:p>
    <w:p>
      <w:r>
        <w:t>Exploratory analysis examined dataset dimensions, class distribution, descriptive statistics, and feature-level patterns. The target classes were retained only for supervised evaluation; the unsupervised clustering stage did not use the target. Comparing distributions helps understand whether the observations contain separable patterns that can later support classification.</w:t>
      </w:r>
    </w:p>
    <w:tbl>
      <w:tblPr>
        <w:tblW w:type="auto" w:w="0"/>
        <w:jc w:val="center"/>
        <w:tblLook w:firstColumn="1" w:firstRow="1" w:lastColumn="0" w:lastRow="0" w:noHBand="0" w:noVBand="1" w:val="04A0"/>
      </w:tblPr>
      <w:tblGrid>
        <w:gridCol w:w="4320"/>
        <w:gridCol w:w="4320"/>
      </w:tblGrid>
      <w:tr>
        <w:tc>
          <w:tcPr>
            <w:tcW w:type="dxa" w:w="4320"/>
          </w:tcPr>
          <w:p>
            <w:r>
              <w:t>Class</w:t>
            </w:r>
          </w:p>
        </w:tc>
        <w:tc>
          <w:tcPr>
            <w:tcW w:type="dxa" w:w="4320"/>
          </w:tcPr>
          <w:p>
            <w:r>
              <w:t>Count</w:t>
            </w:r>
          </w:p>
        </w:tc>
      </w:tr>
      <w:tr>
        <w:tc>
          <w:tcPr>
            <w:tcW w:type="dxa" w:w="4320"/>
          </w:tcPr>
          <w:p>
            <w:r>
              <w:t>malignant</w:t>
            </w:r>
          </w:p>
        </w:tc>
        <w:tc>
          <w:tcPr>
            <w:tcW w:type="dxa" w:w="4320"/>
          </w:tcPr>
          <w:p>
            <w:r>
              <w:t>212</w:t>
            </w:r>
          </w:p>
        </w:tc>
      </w:tr>
      <w:tr>
        <w:tc>
          <w:tcPr>
            <w:tcW w:type="dxa" w:w="4320"/>
          </w:tcPr>
          <w:p>
            <w:r>
              <w:t>benign</w:t>
            </w:r>
          </w:p>
        </w:tc>
        <w:tc>
          <w:tcPr>
            <w:tcW w:type="dxa" w:w="4320"/>
          </w:tcPr>
          <w:p>
            <w:r>
              <w:t>357</w:t>
            </w:r>
          </w:p>
        </w:tc>
      </w:tr>
    </w:tbl>
    <w:p>
      <w:pPr>
        <w:pStyle w:val="Heading1"/>
      </w:pPr>
      <w:r>
        <w:t>5. Unsupervised Learning – K-Means Clustering</w:t>
      </w:r>
    </w:p>
    <w:p>
      <w:r>
        <w:t>K-Means clustering was applied to standardized numerical features without using the target variable. Candidate cluster counts from 2 to 6 were evaluated using silhouette score. The silhouette score measures how well each observation fits within its assigned cluster relative to other clusters.</w:t>
      </w:r>
    </w:p>
    <w:p>
      <w:pPr>
        <w:pStyle w:val="ListBullet"/>
      </w:pPr>
      <w:r>
        <w:t>k = 2: silhouette score = 0.3434</w:t>
      </w:r>
    </w:p>
    <w:p>
      <w:pPr>
        <w:pStyle w:val="ListBullet"/>
      </w:pPr>
      <w:r>
        <w:t>k = 3: silhouette score = 0.3144</w:t>
      </w:r>
    </w:p>
    <w:p>
      <w:pPr>
        <w:pStyle w:val="ListBullet"/>
      </w:pPr>
      <w:r>
        <w:t>k = 4: silhouette score = 0.2833</w:t>
      </w:r>
    </w:p>
    <w:p>
      <w:pPr>
        <w:pStyle w:val="ListBullet"/>
      </w:pPr>
      <w:r>
        <w:t>k = 5: silhouette score = 0.1582</w:t>
      </w:r>
    </w:p>
    <w:p>
      <w:pPr>
        <w:pStyle w:val="ListBullet"/>
      </w:pPr>
      <w:r>
        <w:t>k = 6: silhouette score = 0.1604</w:t>
      </w:r>
    </w:p>
    <w:p>
      <w:r>
        <w:t>The highest silhouette score among the tested values occurred at k = 2, with a score of 0.3434. A two-dimensional PCA projection was used for visualization of the resulting cluster structure.</w:t>
      </w:r>
    </w:p>
    <w:p>
      <w:pPr>
        <w:pStyle w:val="Heading1"/>
      </w:pPr>
      <w:r>
        <w:t>6. Supervised Learning – Logistic Regression</w:t>
      </w:r>
    </w:p>
    <w:p>
      <w:r>
        <w:t>Logistic Regression was selected as the primary supervised baseline because the target is binary and the model provides a strong, interpretable benchmark for classification. An 80:20 stratified train-test split was used. StandardScaler and LogisticRegression were combined in a Pipeline so preprocessing was learned from the training data only.</w:t>
      </w:r>
    </w:p>
    <w:tbl>
      <w:tblPr>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Logistic Regression</w:t>
            </w:r>
          </w:p>
        </w:tc>
      </w:tr>
      <w:tr>
        <w:tc>
          <w:tcPr>
            <w:tcW w:type="dxa" w:w="4320"/>
          </w:tcPr>
          <w:p>
            <w:r>
              <w:t>Accuracy</w:t>
            </w:r>
          </w:p>
        </w:tc>
        <w:tc>
          <w:tcPr>
            <w:tcW w:type="dxa" w:w="4320"/>
          </w:tcPr>
          <w:p>
            <w:r>
              <w:t>0.9825</w:t>
            </w:r>
          </w:p>
        </w:tc>
      </w:tr>
      <w:tr>
        <w:tc>
          <w:tcPr>
            <w:tcW w:type="dxa" w:w="4320"/>
          </w:tcPr>
          <w:p>
            <w:r>
              <w:t>Weighted Precision</w:t>
            </w:r>
          </w:p>
        </w:tc>
        <w:tc>
          <w:tcPr>
            <w:tcW w:type="dxa" w:w="4320"/>
          </w:tcPr>
          <w:p>
            <w:r>
              <w:t>0.9825</w:t>
            </w:r>
          </w:p>
        </w:tc>
      </w:tr>
      <w:tr>
        <w:tc>
          <w:tcPr>
            <w:tcW w:type="dxa" w:w="4320"/>
          </w:tcPr>
          <w:p>
            <w:r>
              <w:t>Weighted Recall</w:t>
            </w:r>
          </w:p>
        </w:tc>
        <w:tc>
          <w:tcPr>
            <w:tcW w:type="dxa" w:w="4320"/>
          </w:tcPr>
          <w:p>
            <w:r>
              <w:t>0.9825</w:t>
            </w:r>
          </w:p>
        </w:tc>
      </w:tr>
      <w:tr>
        <w:tc>
          <w:tcPr>
            <w:tcW w:type="dxa" w:w="4320"/>
          </w:tcPr>
          <w:p>
            <w:r>
              <w:t>Weighted F1</w:t>
            </w:r>
          </w:p>
        </w:tc>
        <w:tc>
          <w:tcPr>
            <w:tcW w:type="dxa" w:w="4320"/>
          </w:tcPr>
          <w:p>
            <w:r>
              <w:t>0.9825</w:t>
            </w:r>
          </w:p>
        </w:tc>
      </w:tr>
    </w:tbl>
    <w:p>
      <w:pPr>
        <w:pStyle w:val="Heading1"/>
      </w:pPr>
      <w:r>
        <w:t>7. Deep Learning Integration</w:t>
      </w:r>
    </w:p>
    <w:p>
      <w:r>
        <w:t>To extend the pipeline, a PyTorch multilayer perceptron was trained on the same classification problem. The network used 30 standardized input features, hidden layers of 64 and 32 neurons with ReLU activations, dropout regularization, and a two-neuron output layer. Adam optimization, cross-entropy loss, a learning rate of 0.001, batch size 32, and 30 training epochs were used. The deep-learning model was evaluated on the same held-out test set.</w:t>
      </w:r>
    </w:p>
    <w:tbl>
      <w:tblPr>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PyTorch MLP</w:t>
            </w:r>
          </w:p>
        </w:tc>
      </w:tr>
      <w:tr>
        <w:tc>
          <w:tcPr>
            <w:tcW w:type="dxa" w:w="4320"/>
          </w:tcPr>
          <w:p>
            <w:r>
              <w:t>Accuracy</w:t>
            </w:r>
          </w:p>
        </w:tc>
        <w:tc>
          <w:tcPr>
            <w:tcW w:type="dxa" w:w="4320"/>
          </w:tcPr>
          <w:p>
            <w:r>
              <w:t>0.9649</w:t>
            </w:r>
          </w:p>
        </w:tc>
      </w:tr>
      <w:tr>
        <w:tc>
          <w:tcPr>
            <w:tcW w:type="dxa" w:w="4320"/>
          </w:tcPr>
          <w:p>
            <w:r>
              <w:t>Weighted Precision</w:t>
            </w:r>
          </w:p>
        </w:tc>
        <w:tc>
          <w:tcPr>
            <w:tcW w:type="dxa" w:w="4320"/>
          </w:tcPr>
          <w:p>
            <w:r>
              <w:t>0.9659</w:t>
            </w:r>
          </w:p>
        </w:tc>
      </w:tr>
      <w:tr>
        <w:tc>
          <w:tcPr>
            <w:tcW w:type="dxa" w:w="4320"/>
          </w:tcPr>
          <w:p>
            <w:r>
              <w:t>Weighted Recall</w:t>
            </w:r>
          </w:p>
        </w:tc>
        <w:tc>
          <w:tcPr>
            <w:tcW w:type="dxa" w:w="4320"/>
          </w:tcPr>
          <w:p>
            <w:r>
              <w:t>0.9649</w:t>
            </w:r>
          </w:p>
        </w:tc>
      </w:tr>
      <w:tr>
        <w:tc>
          <w:tcPr>
            <w:tcW w:type="dxa" w:w="4320"/>
          </w:tcPr>
          <w:p>
            <w:r>
              <w:t>Weighted F1</w:t>
            </w:r>
          </w:p>
        </w:tc>
        <w:tc>
          <w:tcPr>
            <w:tcW w:type="dxa" w:w="4320"/>
          </w:tcPr>
          <w:p>
            <w:r>
              <w:t>0.9651</w:t>
            </w:r>
          </w:p>
        </w:tc>
      </w:tr>
    </w:tbl>
    <w:p>
      <w:pPr>
        <w:pStyle w:val="Heading1"/>
      </w:pPr>
      <w:r>
        <w:t>8. Model Evaluation and Comparison</w:t>
      </w:r>
    </w:p>
    <w:p>
      <w:r>
        <w:t>The supervised and deep-learning approaches were evaluated on the same test partition. Accuracy provides an overall measure of correct predictions, while precision, recall, and F1-score provide additional information about classification quality. The comparison should be interpreted in the context of model complexity: Logistic Regression is a relatively simple and interpretable baseline, whereas the neural network can represent more complex non-linear relationships but introduces additional parameters and tuning requirements.</w:t>
      </w:r>
    </w:p>
    <w:tbl>
      <w:tblPr>
        <w:tblW w:type="auto" w:w="0"/>
        <w:jc w:val="center"/>
        <w:tblLook w:firstColumn="1" w:firstRow="1" w:lastColumn="0" w:lastRow="0" w:noHBand="0" w:noVBand="1" w:val="04A0"/>
      </w:tblPr>
      <w:tblGrid>
        <w:gridCol w:w="2880"/>
        <w:gridCol w:w="2880"/>
        <w:gridCol w:w="2880"/>
      </w:tblGrid>
      <w:tr>
        <w:tc>
          <w:tcPr>
            <w:tcW w:type="dxa" w:w="2880"/>
          </w:tcPr>
          <w:p>
            <w:r>
              <w:t>Model</w:t>
            </w:r>
          </w:p>
        </w:tc>
        <w:tc>
          <w:tcPr>
            <w:tcW w:type="dxa" w:w="2880"/>
          </w:tcPr>
          <w:p>
            <w:r>
              <w:t>Accuracy</w:t>
            </w:r>
          </w:p>
        </w:tc>
        <w:tc>
          <w:tcPr>
            <w:tcW w:type="dxa" w:w="2880"/>
          </w:tcPr>
          <w:p>
            <w:r>
              <w:t>Weighted F1</w:t>
            </w:r>
          </w:p>
        </w:tc>
      </w:tr>
      <w:tr>
        <w:tc>
          <w:tcPr>
            <w:tcW w:type="dxa" w:w="2880"/>
          </w:tcPr>
          <w:p>
            <w:r>
              <w:t>Logistic Regression</w:t>
            </w:r>
          </w:p>
        </w:tc>
        <w:tc>
          <w:tcPr>
            <w:tcW w:type="dxa" w:w="2880"/>
          </w:tcPr>
          <w:p>
            <w:r>
              <w:t>0.9825</w:t>
            </w:r>
          </w:p>
        </w:tc>
        <w:tc>
          <w:tcPr>
            <w:tcW w:type="dxa" w:w="2880"/>
          </w:tcPr>
          <w:p>
            <w:r>
              <w:t>0.9825</w:t>
            </w:r>
          </w:p>
        </w:tc>
      </w:tr>
      <w:tr>
        <w:tc>
          <w:tcPr>
            <w:tcW w:type="dxa" w:w="2880"/>
          </w:tcPr>
          <w:p>
            <w:r>
              <w:t>PyTorch MLP</w:t>
            </w:r>
          </w:p>
        </w:tc>
        <w:tc>
          <w:tcPr>
            <w:tcW w:type="dxa" w:w="2880"/>
          </w:tcPr>
          <w:p>
            <w:r>
              <w:t>0.9649</w:t>
            </w:r>
          </w:p>
        </w:tc>
        <w:tc>
          <w:tcPr>
            <w:tcW w:type="dxa" w:w="2880"/>
          </w:tcPr>
          <w:p>
            <w:r>
              <w:t>0.9651</w:t>
            </w:r>
          </w:p>
        </w:tc>
      </w:tr>
    </w:tbl>
    <w:p>
      <w:pPr>
        <w:pStyle w:val="Heading1"/>
      </w:pPr>
      <w:r>
        <w:t>9. Key Insights</w:t>
      </w:r>
    </w:p>
    <w:p>
      <w:pPr>
        <w:pStyle w:val="ListBullet"/>
      </w:pPr>
      <w:r>
        <w:t>The dataset contains 569 observations and 30 numerical diagnostic features.</w:t>
      </w:r>
    </w:p>
    <w:p>
      <w:pPr>
        <w:pStyle w:val="ListBullet"/>
      </w:pPr>
      <w:r>
        <w:t>Class distribution is malignant=212; benign=357.</w:t>
      </w:r>
    </w:p>
    <w:p>
      <w:pPr>
        <w:pStyle w:val="ListBullet"/>
      </w:pPr>
      <w:r>
        <w:t>K-Means achieved its highest tested silhouette score at k=2 (0.3434).</w:t>
      </w:r>
    </w:p>
    <w:p>
      <w:pPr>
        <w:pStyle w:val="ListBullet"/>
      </w:pPr>
      <w:r>
        <w:t>Logistic Regression achieved 98.25% test accuracy and a weighted F1-score of 0.9825.</w:t>
      </w:r>
    </w:p>
    <w:p>
      <w:pPr>
        <w:pStyle w:val="ListBullet"/>
      </w:pPr>
      <w:r>
        <w:t>The PyTorch MLP achieved 96.49% test accuracy and a weighted F1-score of 0.9651.</w:t>
      </w:r>
    </w:p>
    <w:p>
      <w:pPr>
        <w:pStyle w:val="ListBullet"/>
      </w:pPr>
      <w:r>
        <w:t>Unsupervised clustering and supervised classification answer different questions: clustering describes structure without labels, while classification learns to predict known target categories.</w:t>
      </w:r>
    </w:p>
    <w:p>
      <w:pPr>
        <w:pStyle w:val="Heading1"/>
      </w:pPr>
      <w:r>
        <w:t>10. Challenges and Solutions</w:t>
      </w:r>
    </w:p>
    <w:p>
      <w:pPr>
        <w:pStyle w:val="ListBullet"/>
      </w:pPr>
      <w:r>
        <w:t>Different feature scales: Standardization was applied before distance-based clustering and neural-network training.</w:t>
      </w:r>
    </w:p>
    <w:p>
      <w:pPr>
        <w:pStyle w:val="ListBullet"/>
      </w:pPr>
      <w:r>
        <w:t>Data leakage risk: For supervised and deep-learning experiments, the scaler was fitted only on the training data.</w:t>
      </w:r>
    </w:p>
    <w:p>
      <w:pPr>
        <w:pStyle w:val="ListBullet"/>
      </w:pPr>
      <w:r>
        <w:t>Outliers: IQR-based screening was used to identify unusual numerical values and inform preprocessing decisions.</w:t>
      </w:r>
    </w:p>
    <w:p>
      <w:pPr>
        <w:pStyle w:val="ListBullet"/>
      </w:pPr>
      <w:r>
        <w:t>Model complexity: Logistic Regression was retained as an interpretable baseline before adding the more flexible neural network.</w:t>
      </w:r>
    </w:p>
    <w:p>
      <w:pPr>
        <w:pStyle w:val="ListBullet"/>
      </w:pPr>
      <w:r>
        <w:t>Unsupervised model selection: Multiple K values were compared using silhouette score rather than choosing a cluster count arbitrarily.</w:t>
      </w:r>
    </w:p>
    <w:p>
      <w:pPr>
        <w:pStyle w:val="ListBullet"/>
      </w:pPr>
      <w:r>
        <w:t>Resource constraints: The dataset is compact enough for CPU-based experimentation, allowing the complete pipeline to be executed efficiently.</w:t>
      </w:r>
    </w:p>
    <w:p>
      <w:pPr>
        <w:pStyle w:val="Heading1"/>
      </w:pPr>
      <w:r>
        <w:t>11. Code Examples</w:t>
      </w:r>
    </w:p>
    <w:p>
      <w:r>
        <w:rPr>
          <w:rFonts w:ascii="Courier New" w:hAnsi="Courier New"/>
          <w:sz w:val="17"/>
        </w:rPr>
        <w:t># Supervised baseline</w:t>
        <w:br/>
        <w:t>pipeline = Pipeline([</w:t>
        <w:br/>
        <w:t xml:space="preserve">    ("scaler", StandardScaler()),</w:t>
        <w:br/>
        <w:t xml:space="preserve">    ("model", LogisticRegression(max_iter=500, random_state=42))</w:t>
        <w:br/>
        <w:t>])</w:t>
        <w:br/>
        <w:t>pipeline.fit(X_train, y_train)</w:t>
        <w:br/>
        <w:t>predictions = pipeline.predict(X_test)</w:t>
        <w:br/>
        <w:br/>
        <w:t># K-Means</w:t>
        <w:br/>
        <w:t>X_scaled = StandardScaler().fit_transform(X)</w:t>
        <w:br/>
        <w:t>kmeans = KMeans(n_clusters=2, random_state=42, n_init=10)</w:t>
        <w:br/>
        <w:t>clusters = kmeans.fit_predict(X_scaled)</w:t>
      </w:r>
    </w:p>
    <w:p>
      <w:pPr>
        <w:pStyle w:val="Heading1"/>
      </w:pPr>
      <w:r>
        <w:t>12. Recommendations and Future Work</w:t>
      </w:r>
    </w:p>
    <w:p>
      <w:r>
        <w:t>Future analysis could include systematic hyperparameter tuning, repeated cross-validation, alternative clustering methods such as hierarchical clustering or DBSCAN, dimensionality-reduction comparisons, feature selection, and calibration of classification probabilities. The deep-learning component could also be extended with early stopping, learning-rate scheduling, and architecture search. Because this dataset represents a specific diagnostic problem, any real-world deployment would require domain validation, careful error analysis, and appropriate professional oversight.</w:t>
      </w:r>
    </w:p>
    <w:p>
      <w:pPr>
        <w:pStyle w:val="Heading1"/>
      </w:pPr>
      <w:r>
        <w:t>13. Reflection</w:t>
      </w:r>
    </w:p>
    <w:p>
      <w:r>
        <w:t>The capstone demonstrates how separate Data Science techniques can be connected into one coherent workflow. The project progressed from acquiring and inspecting data to preprocessing, visual exploration, unsupervised pattern discovery, supervised prediction, deep learning, and evaluation. A key learning outcome is that model selection should depend on the question being answered, the structure of the data, interpretability requirements, and the available computational resources rather than accuracy alone.</w:t>
      </w:r>
    </w:p>
    <w:p>
      <w:pPr>
        <w:pStyle w:val="Heading1"/>
      </w:pPr>
      <w:r>
        <w:t>14. Conclusion</w:t>
      </w:r>
    </w:p>
    <w:p>
      <w:r>
        <w:t>This project provides an integrated demonstration of Data Science with Python. It combines acquisition, cleaning, EDA, K-Means clustering, Logistic Regression, PyTorch neural-network modeling, and multi-metric evaluation in one reproducible pipeline. The results show that both traditional machine learning and deep learning can be applied effectively to structured numerical data, while unsupervised learning provides an additional descriptive view of the underlying observations.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