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B365D"/>
          <w:sz w:val="40"/>
        </w:rPr>
        <w:t>Strategic Planning &amp; Data Exploration in Logistics</w:t>
      </w:r>
    </w:p>
    <w:p>
      <w:pPr>
        <w:spacing w:after="240"/>
      </w:pPr>
      <w:r>
        <w:rPr>
          <w:rFonts w:ascii="Arial" w:hAnsi="Arial"/>
          <w:i/>
          <w:color w:val="4B6B94"/>
          <w:sz w:val="23"/>
        </w:rPr>
        <w:t>Optimizing Urban Last-Mile Logistics Through Predictive Delay Modeling and Dynamic Route Sequencing</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after="80"/>
            </w:pPr>
            <w:r>
              <w:rPr>
                <w:rFonts w:ascii="Arial" w:hAnsi="Arial"/>
                <w:b/>
                <w:color w:val="1B365D"/>
                <w:sz w:val="22"/>
              </w:rPr>
              <w:t>Executive Summary</w:t>
            </w:r>
          </w:p>
          <w:p>
            <w:pPr>
              <w:spacing w:after="0" w:line="276" w:lineRule="auto"/>
            </w:pPr>
            <w:r>
              <w:rPr>
                <w:rFonts w:ascii="Arial" w:hAnsi="Arial"/>
                <w:color w:val="222222"/>
                <w:sz w:val="19"/>
              </w:rPr>
              <w:t>Urban e-commerce fulfillment operations encounter substantial margin compression caused by unpredictable traffic delays, inefficient territory assignments, and suboptimal drop sequences. This strategic planning report establishes an end-to-end data science framework to transform last-mile logistics. By uniting unsupervised geospatial clustering (K-Means) for load-balanced dispatch zones, gradient-boosted classification (HistGradientBoosting/LightGBM) for proactive delivery delay prediction, and combinatorial heuristics (Google OR-Tools CVRPTW) for sequence optimization, this initiative targets a 12% decrease in cost per delivery and achieves a 96% on-time delivery benchmark.</w:t>
            </w:r>
          </w:p>
        </w:tc>
      </w:tr>
    </w:tbl>
    <w:p>
      <w:pPr>
        <w:keepNext/>
        <w:spacing w:before="280" w:after="80"/>
      </w:pPr>
      <w:r>
        <w:rPr>
          <w:rFonts w:ascii="Arial" w:hAnsi="Arial"/>
          <w:b/>
          <w:color w:val="1B365D"/>
          <w:sz w:val="26"/>
        </w:rPr>
        <w:t>1. Project Definition &amp; Logistics Scenario</w:t>
      </w:r>
    </w:p>
    <w:p>
      <w:pPr>
        <w:spacing w:after="120" w:line="276" w:lineRule="auto"/>
      </w:pPr>
      <w:r>
        <w:rPr>
          <w:rFonts w:ascii="Arial" w:hAnsi="Arial"/>
          <w:color w:val="333333"/>
          <w:sz w:val="20"/>
        </w:rPr>
        <w:t>The target business scenario simulates an omnichannel retail distribution network operating across a dense metropolitan region. The central depot services between 1,200 and 2,500 daily orders utilizing a dedicated fleet of light commercial delivery vans. Historically, routes were delineated using static postal code zones. As order volume fluctuated and traffic patterns diversified, this static model precipitated severe driver fatigue, high overtime costs, uncoordinated drop sequences, and customer churn due to missed two-hour delivery commitments.</w:t>
      </w:r>
    </w:p>
    <w:p>
      <w:pPr>
        <w:spacing w:after="120" w:line="276" w:lineRule="auto"/>
      </w:pPr>
      <w:r>
        <w:rPr>
          <w:rFonts w:ascii="Arial" w:hAnsi="Arial"/>
          <w:color w:val="333333"/>
          <w:sz w:val="20"/>
        </w:rPr>
        <w:t>To resolve these operational deficits, this project formulates an automated analytical pipeline that transitions dispatching from rigid legacy rules to a real-time, data-driven optimization engine. The analytical engine ingests real-time order streams, generates density-balanced vehicle territories, assesses delay risk using trained gradient boosting models, and formulates shortest-duration delivery routes respecting vehicle load and delivery time-window constraints.</w:t>
      </w:r>
    </w:p>
    <w:p>
      <w:pPr>
        <w:keepNext/>
        <w:spacing w:before="280" w:after="80"/>
      </w:pPr>
      <w:r>
        <w:rPr>
          <w:rFonts w:ascii="Arial" w:hAnsi="Arial"/>
          <w:b/>
          <w:color w:val="1B365D"/>
          <w:sz w:val="26"/>
        </w:rPr>
        <w:t>2. Strategic Key Performance Indicators (KPIs)</w:t>
      </w:r>
    </w:p>
    <w:p>
      <w:pPr>
        <w:spacing w:after="120" w:line="276" w:lineRule="auto"/>
      </w:pPr>
      <w:r>
        <w:rPr>
          <w:rFonts w:ascii="Arial" w:hAnsi="Arial"/>
          <w:color w:val="333333"/>
          <w:sz w:val="20"/>
        </w:rPr>
        <w:t>Success will be evaluated across three mission-critical operational benchmarks:</w:t>
      </w:r>
    </w:p>
    <w:tbl>
      <w:tblPr>
        <w:tblW w:type="auto" w:w="0"/>
        <w:jc w:val="center"/>
        <w:tblLook w:firstColumn="1" w:firstRow="1" w:lastColumn="0" w:lastRow="0" w:noHBand="0" w:noVBand="1" w:val="04A0"/>
      </w:tblPr>
      <w:tblGrid>
        <w:gridCol w:w="3168"/>
        <w:gridCol w:w="4032"/>
        <w:gridCol w:w="2160"/>
      </w:tblGrid>
      <w:tr>
        <w:tc>
          <w:tcPr>
            <w:tcW w:type="dxa" w:w="3120"/>
            <w:shd w:fill="1B365D"/>
            <w:tcMar>
              <w:top w:w="80" w:type="dxa"/>
              <w:bottom w:w="80" w:type="dxa"/>
              <w:left w:w="120" w:type="dxa"/>
              <w:right w:w="120" w:type="dxa"/>
            </w:tcMar>
          </w:tcPr>
          <w:p>
            <w:pPr>
              <w:spacing w:after="0"/>
            </w:pPr>
            <w:r>
              <w:rPr>
                <w:rFonts w:ascii="Arial" w:hAnsi="Arial"/>
                <w:b/>
                <w:color w:val="FFFFFF"/>
                <w:sz w:val="19"/>
              </w:rPr>
              <w:t>Key Performance Indicator</w:t>
            </w:r>
          </w:p>
        </w:tc>
        <w:tc>
          <w:tcPr>
            <w:tcW w:type="dxa" w:w="3120"/>
            <w:shd w:fill="1B365D"/>
            <w:tcMar>
              <w:top w:w="80" w:type="dxa"/>
              <w:bottom w:w="80" w:type="dxa"/>
              <w:left w:w="120" w:type="dxa"/>
              <w:right w:w="120" w:type="dxa"/>
            </w:tcMar>
          </w:tcPr>
          <w:p>
            <w:pPr>
              <w:spacing w:after="0"/>
            </w:pPr>
            <w:r>
              <w:rPr>
                <w:rFonts w:ascii="Arial" w:hAnsi="Arial"/>
                <w:b/>
                <w:color w:val="FFFFFF"/>
                <w:sz w:val="19"/>
              </w:rPr>
              <w:t>Measurement Definition</w:t>
            </w:r>
          </w:p>
        </w:tc>
        <w:tc>
          <w:tcPr>
            <w:tcW w:type="dxa" w:w="3120"/>
            <w:shd w:fill="1B365D"/>
            <w:tcMar>
              <w:top w:w="80" w:type="dxa"/>
              <w:bottom w:w="80" w:type="dxa"/>
              <w:left w:w="120" w:type="dxa"/>
              <w:right w:w="120" w:type="dxa"/>
            </w:tcMar>
          </w:tcPr>
          <w:p>
            <w:pPr>
              <w:spacing w:after="0"/>
            </w:pPr>
            <w:r>
              <w:rPr>
                <w:rFonts w:ascii="Arial" w:hAnsi="Arial"/>
                <w:b/>
                <w:color w:val="FFFFFF"/>
                <w:sz w:val="19"/>
              </w:rPr>
              <w:t>Benchmark &amp; Target</w:t>
            </w:r>
          </w:p>
        </w:tc>
      </w:tr>
      <w:tr>
        <w:tc>
          <w:tcPr>
            <w:tcW w:type="dxa" w:w="3120"/>
            <w:shd w:fill="F9FAFB"/>
            <w:tcMar>
              <w:top w:w="80" w:type="dxa"/>
              <w:bottom w:w="80" w:type="dxa"/>
              <w:left w:w="120" w:type="dxa"/>
              <w:right w:w="120" w:type="dxa"/>
            </w:tcMar>
          </w:tcPr>
          <w:p>
            <w:pPr>
              <w:spacing w:after="0"/>
            </w:pPr>
            <w:r>
              <w:rPr>
                <w:rFonts w:ascii="Arial" w:hAnsi="Arial"/>
                <w:b/>
                <w:sz w:val="18"/>
              </w:rPr>
              <w:t>On-Time In-Full (OTIF) Delivery Rate</w:t>
            </w:r>
          </w:p>
        </w:tc>
        <w:tc>
          <w:tcPr>
            <w:tcW w:type="dxa" w:w="3120"/>
            <w:shd w:fill="F9FAFB"/>
            <w:tcMar>
              <w:top w:w="80" w:type="dxa"/>
              <w:bottom w:w="80" w:type="dxa"/>
              <w:left w:w="120" w:type="dxa"/>
              <w:right w:w="120" w:type="dxa"/>
            </w:tcMar>
          </w:tcPr>
          <w:p>
            <w:pPr>
              <w:spacing w:after="0"/>
            </w:pPr>
            <w:r>
              <w:rPr>
                <w:rFonts w:ascii="Arial" w:hAnsi="Arial"/>
                <w:sz w:val="18"/>
              </w:rPr>
              <w:t>Percentage of parcels successfully delivered within the promised SLA customer window.</w:t>
            </w:r>
          </w:p>
        </w:tc>
        <w:tc>
          <w:tcPr>
            <w:tcW w:type="dxa" w:w="3120"/>
            <w:shd w:fill="F9FAFB"/>
            <w:tcMar>
              <w:top w:w="80" w:type="dxa"/>
              <w:bottom w:w="80" w:type="dxa"/>
              <w:left w:w="120" w:type="dxa"/>
              <w:right w:w="120" w:type="dxa"/>
            </w:tcMar>
          </w:tcPr>
          <w:p>
            <w:pPr>
              <w:spacing w:after="0"/>
            </w:pPr>
            <w:r>
              <w:rPr>
                <w:rFonts w:ascii="Arial" w:hAnsi="Arial"/>
                <w:sz w:val="18"/>
              </w:rPr>
              <w:t>Baseline: 83.5%</w:t>
              <w:br/>
              <w:t>Target: &gt;= 95.0%</w:t>
            </w:r>
          </w:p>
        </w:tc>
      </w:tr>
      <w:tr>
        <w:tc>
          <w:tcPr>
            <w:tcW w:type="dxa" w:w="3120"/>
            <w:shd w:fill="FFFFFF"/>
            <w:tcMar>
              <w:top w:w="80" w:type="dxa"/>
              <w:bottom w:w="80" w:type="dxa"/>
              <w:left w:w="120" w:type="dxa"/>
              <w:right w:w="120" w:type="dxa"/>
            </w:tcMar>
          </w:tcPr>
          <w:p>
            <w:pPr>
              <w:spacing w:after="0"/>
            </w:pPr>
            <w:r>
              <w:rPr>
                <w:rFonts w:ascii="Arial" w:hAnsi="Arial"/>
                <w:b/>
                <w:sz w:val="18"/>
              </w:rPr>
              <w:t>Cost Per Delivery (CPD)</w:t>
            </w:r>
          </w:p>
        </w:tc>
        <w:tc>
          <w:tcPr>
            <w:tcW w:type="dxa" w:w="3120"/>
            <w:shd w:fill="FFFFFF"/>
            <w:tcMar>
              <w:top w:w="80" w:type="dxa"/>
              <w:bottom w:w="80" w:type="dxa"/>
              <w:left w:w="120" w:type="dxa"/>
              <w:right w:w="120" w:type="dxa"/>
            </w:tcMar>
          </w:tcPr>
          <w:p>
            <w:pPr>
              <w:spacing w:after="0"/>
            </w:pPr>
            <w:r>
              <w:rPr>
                <w:rFonts w:ascii="Arial" w:hAnsi="Arial"/>
                <w:sz w:val="18"/>
              </w:rPr>
              <w:t>Total operating cost (fuel, maintenance, driver wages) divided by total completed stops.</w:t>
            </w:r>
          </w:p>
        </w:tc>
        <w:tc>
          <w:tcPr>
            <w:tcW w:type="dxa" w:w="3120"/>
            <w:shd w:fill="FFFFFF"/>
            <w:tcMar>
              <w:top w:w="80" w:type="dxa"/>
              <w:bottom w:w="80" w:type="dxa"/>
              <w:left w:w="120" w:type="dxa"/>
              <w:right w:w="120" w:type="dxa"/>
            </w:tcMar>
          </w:tcPr>
          <w:p>
            <w:pPr>
              <w:spacing w:after="0"/>
            </w:pPr>
            <w:r>
              <w:rPr>
                <w:rFonts w:ascii="Arial" w:hAnsi="Arial"/>
                <w:sz w:val="18"/>
              </w:rPr>
              <w:t>Baseline: $6.45</w:t>
              <w:br/>
              <w:t>Target: &lt;= $5.65 (-12.4%)</w:t>
            </w:r>
          </w:p>
        </w:tc>
      </w:tr>
      <w:tr>
        <w:tc>
          <w:tcPr>
            <w:tcW w:type="dxa" w:w="3120"/>
            <w:shd w:fill="F9FAFB"/>
            <w:tcMar>
              <w:top w:w="80" w:type="dxa"/>
              <w:bottom w:w="80" w:type="dxa"/>
              <w:left w:w="120" w:type="dxa"/>
              <w:right w:w="120" w:type="dxa"/>
            </w:tcMar>
          </w:tcPr>
          <w:p>
            <w:pPr>
              <w:spacing w:after="0"/>
            </w:pPr>
            <w:r>
              <w:rPr>
                <w:rFonts w:ascii="Arial" w:hAnsi="Arial"/>
                <w:b/>
                <w:sz w:val="18"/>
              </w:rPr>
              <w:t>Route Mileage Variance (RMV)</w:t>
            </w:r>
          </w:p>
        </w:tc>
        <w:tc>
          <w:tcPr>
            <w:tcW w:type="dxa" w:w="3120"/>
            <w:shd w:fill="F9FAFB"/>
            <w:tcMar>
              <w:top w:w="80" w:type="dxa"/>
              <w:bottom w:w="80" w:type="dxa"/>
              <w:left w:w="120" w:type="dxa"/>
              <w:right w:w="120" w:type="dxa"/>
            </w:tcMar>
          </w:tcPr>
          <w:p>
            <w:pPr>
              <w:spacing w:after="0"/>
            </w:pPr>
            <w:r>
              <w:rPr>
                <w:rFonts w:ascii="Arial" w:hAnsi="Arial"/>
                <w:sz w:val="18"/>
              </w:rPr>
              <w:t>Variance ratio between actual miles traveled versus planned optimal route mileage.</w:t>
            </w:r>
          </w:p>
        </w:tc>
        <w:tc>
          <w:tcPr>
            <w:tcW w:type="dxa" w:w="3120"/>
            <w:shd w:fill="F9FAFB"/>
            <w:tcMar>
              <w:top w:w="80" w:type="dxa"/>
              <w:bottom w:w="80" w:type="dxa"/>
              <w:left w:w="120" w:type="dxa"/>
              <w:right w:w="120" w:type="dxa"/>
            </w:tcMar>
          </w:tcPr>
          <w:p>
            <w:pPr>
              <w:spacing w:after="0"/>
            </w:pPr>
            <w:r>
              <w:rPr>
                <w:rFonts w:ascii="Arial" w:hAnsi="Arial"/>
                <w:sz w:val="18"/>
              </w:rPr>
              <w:t>Baseline: +18.2% excess</w:t>
              <w:br/>
              <w:t>Target: &lt;= +5.0% excess</w:t>
            </w:r>
          </w:p>
        </w:tc>
      </w:tr>
    </w:tbl>
    <w:p>
      <w:pPr>
        <w:keepNext/>
        <w:spacing w:before="280" w:after="80"/>
      </w:pPr>
      <w:r>
        <w:rPr>
          <w:rFonts w:ascii="Arial" w:hAnsi="Arial"/>
          <w:b/>
          <w:color w:val="1B365D"/>
          <w:sz w:val="26"/>
        </w:rPr>
        <w:t>3. Literature and Public Data Research</w:t>
      </w:r>
    </w:p>
    <w:p>
      <w:pPr>
        <w:spacing w:after="120" w:line="276" w:lineRule="auto"/>
      </w:pPr>
      <w:r>
        <w:rPr>
          <w:rFonts w:ascii="Arial" w:hAnsi="Arial"/>
          <w:color w:val="333333"/>
          <w:sz w:val="20"/>
        </w:rPr>
        <w:t>Extensive logistics literature indicates that the 'last mile' constitutes upwards of 41% to 53% of overall supply chain operational expenses. Traditional heuristics frequently fail under dynamic stochastic conditions such as inclement weather, flash congestion, and varying service times across residential high-rises versus single-family zones.</w:t>
      </w:r>
    </w:p>
    <w:p>
      <w:pPr>
        <w:spacing w:after="120" w:line="276" w:lineRule="auto"/>
      </w:pPr>
      <w:r>
        <w:rPr>
          <w:rFonts w:ascii="Arial" w:hAnsi="Arial"/>
          <w:b/>
          <w:color w:val="222222"/>
          <w:sz w:val="20"/>
        </w:rPr>
        <w:t xml:space="preserve">Public Data Foundations: </w:t>
      </w:r>
      <w:r>
        <w:rPr>
          <w:rFonts w:ascii="Arial" w:hAnsi="Arial"/>
          <w:color w:val="333333"/>
          <w:sz w:val="20"/>
        </w:rPr>
        <w:t>• Amazon Last-Mile Routing Challenge Dataset: Provides real-world dispatch sequences, route evaluations, and driver travel times.</w:t>
        <w:br/>
        <w:t>• OpenStreetMap (OSM) &amp; OSRM Engine: Supplies high-fidelity routing graphs, road segment hierarchies, and realistic travel matrices.</w:t>
        <w:br/>
        <w:t>• Municipal Urban Mobility Feeds (NYC TLC): Furnishes historical hourly speed fluctuations, congestion indices, and curb dwell times.</w:t>
      </w:r>
    </w:p>
    <w:p>
      <w:pPr>
        <w:keepNext/>
        <w:spacing w:before="280" w:after="80"/>
      </w:pPr>
      <w:r>
        <w:rPr>
          <w:rFonts w:ascii="Arial" w:hAnsi="Arial"/>
          <w:b/>
          <w:color w:val="1B365D"/>
          <w:sz w:val="26"/>
        </w:rPr>
        <w:t>4. Strategic Implementation Roadmap</w:t>
      </w:r>
    </w:p>
    <w:tbl>
      <w:tblPr>
        <w:tblW w:type="auto" w:w="0"/>
        <w:jc w:val="center"/>
        <w:tblLook w:firstColumn="1" w:firstRow="1" w:lastColumn="0" w:lastRow="0" w:noHBand="0" w:noVBand="1" w:val="04A0"/>
      </w:tblPr>
      <w:tblGrid>
        <w:gridCol w:w="2592"/>
        <w:gridCol w:w="4608"/>
        <w:gridCol w:w="2160"/>
      </w:tblGrid>
      <w:tr>
        <w:tc>
          <w:tcPr>
            <w:tcW w:type="dxa" w:w="3120"/>
            <w:shd w:fill="1B365D"/>
            <w:tcMar>
              <w:top w:w="80" w:type="dxa"/>
              <w:bottom w:w="80" w:type="dxa"/>
              <w:left w:w="120" w:type="dxa"/>
              <w:right w:w="120" w:type="dxa"/>
            </w:tcMar>
          </w:tcPr>
          <w:p>
            <w:pPr>
              <w:spacing w:after="0"/>
            </w:pPr>
            <w:r>
              <w:rPr>
                <w:rFonts w:ascii="Arial" w:hAnsi="Arial"/>
                <w:b/>
                <w:color w:val="FFFFFF"/>
                <w:sz w:val="19"/>
              </w:rPr>
              <w:t>Phase &amp; Focus</w:t>
            </w:r>
          </w:p>
        </w:tc>
        <w:tc>
          <w:tcPr>
            <w:tcW w:type="dxa" w:w="3120"/>
            <w:shd w:fill="1B365D"/>
            <w:tcMar>
              <w:top w:w="80" w:type="dxa"/>
              <w:bottom w:w="80" w:type="dxa"/>
              <w:left w:w="120" w:type="dxa"/>
              <w:right w:w="120" w:type="dxa"/>
            </w:tcMar>
          </w:tcPr>
          <w:p>
            <w:pPr>
              <w:spacing w:after="0"/>
            </w:pPr>
            <w:r>
              <w:rPr>
                <w:rFonts w:ascii="Arial" w:hAnsi="Arial"/>
                <w:b/>
                <w:color w:val="FFFFFF"/>
                <w:sz w:val="19"/>
              </w:rPr>
              <w:t>Operational Deliverables</w:t>
            </w:r>
          </w:p>
        </w:tc>
        <w:tc>
          <w:tcPr>
            <w:tcW w:type="dxa" w:w="3120"/>
            <w:shd w:fill="1B365D"/>
            <w:tcMar>
              <w:top w:w="80" w:type="dxa"/>
              <w:bottom w:w="80" w:type="dxa"/>
              <w:left w:w="120" w:type="dxa"/>
              <w:right w:w="120" w:type="dxa"/>
            </w:tcMar>
          </w:tcPr>
          <w:p>
            <w:pPr>
              <w:spacing w:after="0"/>
            </w:pPr>
            <w:r>
              <w:rPr>
                <w:rFonts w:ascii="Arial" w:hAnsi="Arial"/>
                <w:b/>
                <w:color w:val="FFFFFF"/>
                <w:sz w:val="19"/>
              </w:rPr>
              <w:t>Technology Stack</w:t>
            </w:r>
          </w:p>
        </w:tc>
      </w:tr>
      <w:tr>
        <w:tc>
          <w:tcPr>
            <w:tcW w:type="dxa" w:w="3120"/>
            <w:shd w:fill="F9FAFB"/>
            <w:tcMar>
              <w:top w:w="80" w:type="dxa"/>
              <w:bottom w:w="80" w:type="dxa"/>
              <w:left w:w="120" w:type="dxa"/>
              <w:right w:w="120" w:type="dxa"/>
            </w:tcMar>
          </w:tcPr>
          <w:p>
            <w:pPr>
              <w:spacing w:after="0"/>
            </w:pPr>
            <w:r>
              <w:rPr>
                <w:rFonts w:ascii="Arial" w:hAnsi="Arial"/>
                <w:b/>
                <w:sz w:val="17"/>
              </w:rPr>
              <w:t>Phase 1: Preprocessing</w:t>
            </w:r>
          </w:p>
        </w:tc>
        <w:tc>
          <w:tcPr>
            <w:tcW w:type="dxa" w:w="3120"/>
            <w:shd w:fill="F9FAFB"/>
            <w:tcMar>
              <w:top w:w="80" w:type="dxa"/>
              <w:bottom w:w="80" w:type="dxa"/>
              <w:left w:w="120" w:type="dxa"/>
              <w:right w:w="120" w:type="dxa"/>
            </w:tcMar>
          </w:tcPr>
          <w:p>
            <w:pPr>
              <w:spacing w:after="0"/>
            </w:pPr>
            <w:r>
              <w:rPr>
                <w:rFonts w:ascii="Arial" w:hAnsi="Arial"/>
                <w:sz w:val="17"/>
              </w:rPr>
              <w:t>Aggregate dispatch orders, geocode addresses, parse time windows, filter anomalies.</w:t>
            </w:r>
          </w:p>
        </w:tc>
        <w:tc>
          <w:tcPr>
            <w:tcW w:type="dxa" w:w="3120"/>
            <w:shd w:fill="F9FAFB"/>
            <w:tcMar>
              <w:top w:w="80" w:type="dxa"/>
              <w:bottom w:w="80" w:type="dxa"/>
              <w:left w:w="120" w:type="dxa"/>
              <w:right w:w="120" w:type="dxa"/>
            </w:tcMar>
          </w:tcPr>
          <w:p>
            <w:pPr>
              <w:spacing w:after="0"/>
            </w:pPr>
            <w:r>
              <w:rPr>
                <w:rFonts w:ascii="Arial" w:hAnsi="Arial"/>
                <w:sz w:val="17"/>
              </w:rPr>
              <w:t>pandas, geopandas</w:t>
            </w:r>
          </w:p>
        </w:tc>
      </w:tr>
      <w:tr>
        <w:tc>
          <w:tcPr>
            <w:tcW w:type="dxa" w:w="3120"/>
            <w:shd w:fill="FFFFFF"/>
            <w:tcMar>
              <w:top w:w="80" w:type="dxa"/>
              <w:bottom w:w="80" w:type="dxa"/>
              <w:left w:w="120" w:type="dxa"/>
              <w:right w:w="120" w:type="dxa"/>
            </w:tcMar>
          </w:tcPr>
          <w:p>
            <w:pPr>
              <w:spacing w:after="0"/>
            </w:pPr>
            <w:r>
              <w:rPr>
                <w:rFonts w:ascii="Arial" w:hAnsi="Arial"/>
                <w:b/>
                <w:sz w:val="17"/>
              </w:rPr>
              <w:t>Phase 2: EDA &amp; Features</w:t>
            </w:r>
          </w:p>
        </w:tc>
        <w:tc>
          <w:tcPr>
            <w:tcW w:type="dxa" w:w="3120"/>
            <w:shd w:fill="FFFFFF"/>
            <w:tcMar>
              <w:top w:w="80" w:type="dxa"/>
              <w:bottom w:w="80" w:type="dxa"/>
              <w:left w:w="120" w:type="dxa"/>
              <w:right w:w="120" w:type="dxa"/>
            </w:tcMar>
          </w:tcPr>
          <w:p>
            <w:pPr>
              <w:spacing w:after="0"/>
            </w:pPr>
            <w:r>
              <w:rPr>
                <w:rFonts w:ascii="Arial" w:hAnsi="Arial"/>
                <w:sz w:val="17"/>
              </w:rPr>
              <w:t>Compute Haversine distances, dwell-time distributions, rolling traffic metrics.</w:t>
            </w:r>
          </w:p>
        </w:tc>
        <w:tc>
          <w:tcPr>
            <w:tcW w:type="dxa" w:w="3120"/>
            <w:shd w:fill="FFFFFF"/>
            <w:tcMar>
              <w:top w:w="80" w:type="dxa"/>
              <w:bottom w:w="80" w:type="dxa"/>
              <w:left w:w="120" w:type="dxa"/>
              <w:right w:w="120" w:type="dxa"/>
            </w:tcMar>
          </w:tcPr>
          <w:p>
            <w:pPr>
              <w:spacing w:after="0"/>
            </w:pPr>
            <w:r>
              <w:rPr>
                <w:rFonts w:ascii="Arial" w:hAnsi="Arial"/>
                <w:sz w:val="17"/>
              </w:rPr>
              <w:t>matplotlib, seaborn, numpy</w:t>
            </w:r>
          </w:p>
        </w:tc>
      </w:tr>
      <w:tr>
        <w:tc>
          <w:tcPr>
            <w:tcW w:type="dxa" w:w="3120"/>
            <w:shd w:fill="F9FAFB"/>
            <w:tcMar>
              <w:top w:w="80" w:type="dxa"/>
              <w:bottom w:w="80" w:type="dxa"/>
              <w:left w:w="120" w:type="dxa"/>
              <w:right w:w="120" w:type="dxa"/>
            </w:tcMar>
          </w:tcPr>
          <w:p>
            <w:pPr>
              <w:spacing w:after="0"/>
            </w:pPr>
            <w:r>
              <w:rPr>
                <w:rFonts w:ascii="Arial" w:hAnsi="Arial"/>
                <w:b/>
                <w:sz w:val="17"/>
              </w:rPr>
              <w:t>Phase 3: Spatial Clustering</w:t>
            </w:r>
          </w:p>
        </w:tc>
        <w:tc>
          <w:tcPr>
            <w:tcW w:type="dxa" w:w="3120"/>
            <w:shd w:fill="F9FAFB"/>
            <w:tcMar>
              <w:top w:w="80" w:type="dxa"/>
              <w:bottom w:w="80" w:type="dxa"/>
              <w:left w:w="120" w:type="dxa"/>
              <w:right w:w="120" w:type="dxa"/>
            </w:tcMar>
          </w:tcPr>
          <w:p>
            <w:pPr>
              <w:spacing w:after="0"/>
            </w:pPr>
            <w:r>
              <w:rPr>
                <w:rFonts w:ascii="Arial" w:hAnsi="Arial"/>
                <w:sz w:val="17"/>
              </w:rPr>
              <w:t>Cluster geographical points to balance vehicle capacity constraints and minimize overlaps.</w:t>
            </w:r>
          </w:p>
        </w:tc>
        <w:tc>
          <w:tcPr>
            <w:tcW w:type="dxa" w:w="3120"/>
            <w:shd w:fill="F9FAFB"/>
            <w:tcMar>
              <w:top w:w="80" w:type="dxa"/>
              <w:bottom w:w="80" w:type="dxa"/>
              <w:left w:w="120" w:type="dxa"/>
              <w:right w:w="120" w:type="dxa"/>
            </w:tcMar>
          </w:tcPr>
          <w:p>
            <w:pPr>
              <w:spacing w:after="0"/>
            </w:pPr>
            <w:r>
              <w:rPr>
                <w:rFonts w:ascii="Arial" w:hAnsi="Arial"/>
                <w:sz w:val="17"/>
              </w:rPr>
              <w:t>scikit-learn (KMeans)</w:t>
            </w:r>
          </w:p>
        </w:tc>
      </w:tr>
      <w:tr>
        <w:tc>
          <w:tcPr>
            <w:tcW w:type="dxa" w:w="3120"/>
            <w:shd w:fill="FFFFFF"/>
            <w:tcMar>
              <w:top w:w="80" w:type="dxa"/>
              <w:bottom w:w="80" w:type="dxa"/>
              <w:left w:w="120" w:type="dxa"/>
              <w:right w:w="120" w:type="dxa"/>
            </w:tcMar>
          </w:tcPr>
          <w:p>
            <w:pPr>
              <w:spacing w:after="0"/>
            </w:pPr>
            <w:r>
              <w:rPr>
                <w:rFonts w:ascii="Arial" w:hAnsi="Arial"/>
                <w:b/>
                <w:sz w:val="17"/>
              </w:rPr>
              <w:t>Phase 4: Predictive Modeling</w:t>
            </w:r>
          </w:p>
        </w:tc>
        <w:tc>
          <w:tcPr>
            <w:tcW w:type="dxa" w:w="3120"/>
            <w:shd w:fill="FFFFFF"/>
            <w:tcMar>
              <w:top w:w="80" w:type="dxa"/>
              <w:bottom w:w="80" w:type="dxa"/>
              <w:left w:w="120" w:type="dxa"/>
              <w:right w:w="120" w:type="dxa"/>
            </w:tcMar>
          </w:tcPr>
          <w:p>
            <w:pPr>
              <w:spacing w:after="0"/>
            </w:pPr>
            <w:r>
              <w:rPr>
                <w:rFonts w:ascii="Arial" w:hAnsi="Arial"/>
                <w:sz w:val="17"/>
              </w:rPr>
              <w:t>Train gradient-boosted classifiers on historical runs to score delivery delay probability.</w:t>
            </w:r>
          </w:p>
        </w:tc>
        <w:tc>
          <w:tcPr>
            <w:tcW w:type="dxa" w:w="3120"/>
            <w:shd w:fill="FFFFFF"/>
            <w:tcMar>
              <w:top w:w="80" w:type="dxa"/>
              <w:bottom w:w="80" w:type="dxa"/>
              <w:left w:w="120" w:type="dxa"/>
              <w:right w:w="120" w:type="dxa"/>
            </w:tcMar>
          </w:tcPr>
          <w:p>
            <w:pPr>
              <w:spacing w:after="0"/>
            </w:pPr>
            <w:r>
              <w:rPr>
                <w:rFonts w:ascii="Arial" w:hAnsi="Arial"/>
                <w:sz w:val="17"/>
              </w:rPr>
              <w:t>scikit-learn (HistGradientBoosting)</w:t>
            </w:r>
          </w:p>
        </w:tc>
      </w:tr>
      <w:tr>
        <w:tc>
          <w:tcPr>
            <w:tcW w:type="dxa" w:w="3120"/>
            <w:shd w:fill="F9FAFB"/>
            <w:tcMar>
              <w:top w:w="80" w:type="dxa"/>
              <w:bottom w:w="80" w:type="dxa"/>
              <w:left w:w="120" w:type="dxa"/>
              <w:right w:w="120" w:type="dxa"/>
            </w:tcMar>
          </w:tcPr>
          <w:p>
            <w:pPr>
              <w:spacing w:after="0"/>
            </w:pPr>
            <w:r>
              <w:rPr>
                <w:rFonts w:ascii="Arial" w:hAnsi="Arial"/>
                <w:b/>
                <w:sz w:val="17"/>
              </w:rPr>
              <w:t>Phase 5: Route Optimization</w:t>
            </w:r>
          </w:p>
        </w:tc>
        <w:tc>
          <w:tcPr>
            <w:tcW w:type="dxa" w:w="3120"/>
            <w:shd w:fill="F9FAFB"/>
            <w:tcMar>
              <w:top w:w="80" w:type="dxa"/>
              <w:bottom w:w="80" w:type="dxa"/>
              <w:left w:w="120" w:type="dxa"/>
              <w:right w:w="120" w:type="dxa"/>
            </w:tcMar>
          </w:tcPr>
          <w:p>
            <w:pPr>
              <w:spacing w:after="0"/>
            </w:pPr>
            <w:r>
              <w:rPr>
                <w:rFonts w:ascii="Arial" w:hAnsi="Arial"/>
                <w:sz w:val="17"/>
              </w:rPr>
              <w:t>Compute cost matrices and execute local search metaheuristics for optimal stop sequences.</w:t>
            </w:r>
          </w:p>
        </w:tc>
        <w:tc>
          <w:tcPr>
            <w:tcW w:type="dxa" w:w="3120"/>
            <w:shd w:fill="F9FAFB"/>
            <w:tcMar>
              <w:top w:w="80" w:type="dxa"/>
              <w:bottom w:w="80" w:type="dxa"/>
              <w:left w:w="120" w:type="dxa"/>
              <w:right w:w="120" w:type="dxa"/>
            </w:tcMar>
          </w:tcPr>
          <w:p>
            <w:pPr>
              <w:spacing w:after="0"/>
            </w:pPr>
            <w:r>
              <w:rPr>
                <w:rFonts w:ascii="Arial" w:hAnsi="Arial"/>
                <w:sz w:val="17"/>
              </w:rPr>
              <w:t>scipy / ortools</w:t>
            </w:r>
          </w:p>
        </w:tc>
      </w:tr>
      <w:tr>
        <w:tc>
          <w:tcPr>
            <w:tcW w:type="dxa" w:w="3120"/>
            <w:shd w:fill="FFFFFF"/>
            <w:tcMar>
              <w:top w:w="80" w:type="dxa"/>
              <w:bottom w:w="80" w:type="dxa"/>
              <w:left w:w="120" w:type="dxa"/>
              <w:right w:w="120" w:type="dxa"/>
            </w:tcMar>
          </w:tcPr>
          <w:p>
            <w:pPr>
              <w:spacing w:after="0"/>
            </w:pPr>
            <w:r>
              <w:rPr>
                <w:rFonts w:ascii="Arial" w:hAnsi="Arial"/>
                <w:b/>
                <w:sz w:val="17"/>
              </w:rPr>
              <w:t>Phase 6: Integration</w:t>
            </w:r>
          </w:p>
        </w:tc>
        <w:tc>
          <w:tcPr>
            <w:tcW w:type="dxa" w:w="3120"/>
            <w:shd w:fill="FFFFFF"/>
            <w:tcMar>
              <w:top w:w="80" w:type="dxa"/>
              <w:bottom w:w="80" w:type="dxa"/>
              <w:left w:w="120" w:type="dxa"/>
              <w:right w:w="120" w:type="dxa"/>
            </w:tcMar>
          </w:tcPr>
          <w:p>
            <w:pPr>
              <w:spacing w:after="0"/>
            </w:pPr>
            <w:r>
              <w:rPr>
                <w:rFonts w:ascii="Arial" w:hAnsi="Arial"/>
                <w:sz w:val="17"/>
              </w:rPr>
              <w:t>Deploy interactive manifest dashboard for fleet dispatchers and telemetry feedback loops.</w:t>
            </w:r>
          </w:p>
        </w:tc>
        <w:tc>
          <w:tcPr>
            <w:tcW w:type="dxa" w:w="3120"/>
            <w:shd w:fill="FFFFFF"/>
            <w:tcMar>
              <w:top w:w="80" w:type="dxa"/>
              <w:bottom w:w="80" w:type="dxa"/>
              <w:left w:w="120" w:type="dxa"/>
              <w:right w:w="120" w:type="dxa"/>
            </w:tcMar>
          </w:tcPr>
          <w:p>
            <w:pPr>
              <w:spacing w:after="0"/>
            </w:pPr>
            <w:r>
              <w:rPr>
                <w:rFonts w:ascii="Arial" w:hAnsi="Arial"/>
                <w:sz w:val="17"/>
              </w:rPr>
              <w:t>Streamlit, FastAPI</w:t>
            </w:r>
          </w:p>
        </w:tc>
      </w:tr>
    </w:tbl>
    <w:p>
      <w:pPr>
        <w:keepNext/>
        <w:spacing w:before="280" w:after="80"/>
      </w:pPr>
      <w:r>
        <w:rPr>
          <w:rFonts w:ascii="Arial" w:hAnsi="Arial"/>
          <w:b/>
          <w:color w:val="1B365D"/>
          <w:sz w:val="26"/>
        </w:rPr>
        <w:t>5. Expected Outcomes and Strategic Impact</w:t>
      </w:r>
    </w:p>
    <w:p>
      <w:pPr>
        <w:spacing w:after="120" w:line="276" w:lineRule="auto"/>
      </w:pPr>
      <w:r>
        <w:rPr>
          <w:rFonts w:ascii="Arial" w:hAnsi="Arial"/>
          <w:color w:val="333333"/>
          <w:sz w:val="20"/>
        </w:rPr>
        <w:t>• Dynamic vs. Static Dispatching: Transitioning to data-driven clustering resolves route overlap, leveling workload disparities across drivers and lowering vehicle idle time by 18%.</w:t>
        <w:br/>
        <w:t>• Proactive Exception Management: By flagging high-probability delay parcels 2 to 3 hours prior to dispatch, operations can reassign priority couriers and protect customer satisfaction scores.</w:t>
        <w:br/>
        <w:t>• Sustainable Bottom-Line Impact: Reducing unnecessary travel miles yields an estimated 12.4% reduction in fuel and maintenance expenditures.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