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
        <w:rPr>
          <w:rFonts w:ascii="Times New Roman" w:hAnsi="Times New Roman"/>
          <w:b/>
          <w:color w:val="0F172A"/>
          <w:sz w:val="34"/>
        </w:rPr>
        <w:t>DISTRIBUTED DIGITAL COMMERCE &amp; MULTI-WAREHOUSE INVENTORY INTELLIGENCE PLATFORM (NEXCOMMERCE)</w:t>
      </w:r>
    </w:p>
    <w:p w14:paraId="51A8E618" w14:textId="58BB002C" w:rsidR="00525F2B" w:rsidRDefault="008B5E6E" w:rsidP="00F916E9">
      <w:pPr>
        <w:jc w:val="center"/>
        <w:rPr>
          <w:rFonts w:eastAsia="Times New Roman"/>
          <w:i/>
          <w:iCs/>
          <w:color w:val="000000"/>
          <w:sz w:val="26"/>
          <w:szCs w:val="26"/>
          <w:lang w:val="en-IN" w:eastAsia="en-IN" w:bidi="hi-IN"/>
        </w:rPr>
      </w:pPr>
      <w:r/>
      <w:r>
        <w:rPr>
          <w:rFonts w:ascii="Times New Roman" w:hAnsi="Times New Roman"/>
          <w:sz w:val="25"/>
        </w:rPr>
        <w:t>A Project Based Learning Report Submitted in partial fulfilment of the requirements for the award of the degree</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jc w:val="center"/>
        <w:rPr>
          <w:rFonts w:eastAsia="Times New Roman"/>
          <w:color w:val="000000"/>
          <w:sz w:val="26"/>
          <w:szCs w:val="26"/>
          <w:lang w:val="en-IN" w:eastAsia="en-IN" w:bidi="hi-IN"/>
        </w:rPr>
      </w:pPr>
      <w:r/>
      <w:r>
        <w:rPr>
          <w:rFonts w:ascii="Times New Roman" w:hAnsi="Times New Roman"/>
          <w:sz w:val="25"/>
        </w:rPr>
        <w:t>of</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
        <w:rPr>
          <w:rFonts w:ascii="Times New Roman" w:hAnsi="Times New Roman"/>
          <w:b/>
          <w:sz w:val="27"/>
        </w:rPr>
        <w:t>Bachelor of Technology</w:t>
      </w:r>
    </w:p>
    <w:p w14:paraId="2E42833D" w14:textId="5F0A3BF0" w:rsidR="00F916E9" w:rsidRPr="00F916E9" w:rsidRDefault="00F916E9" w:rsidP="00F916E9">
      <w:pPr>
        <w:pStyle w:val="Default"/>
        <w:spacing w:after="200" w:line="360" w:lineRule="auto"/>
        <w:jc w:val="center"/>
        <w:rPr>
          <w:sz w:val="34"/>
          <w:szCs w:val="34"/>
        </w:rPr>
      </w:pPr>
      <w:r/>
      <w:r>
        <w:rPr>
          <w:rFonts w:ascii="Times New Roman" w:hAnsi="Times New Roman"/>
          <w:b/>
          <w:sz w:val="27"/>
        </w:rPr>
        <w:t>in Computer Science and Engineering</w:t>
      </w:r>
    </w:p>
    <w:p w14:paraId="75056B71" w14:textId="581B9BA0" w:rsidR="003D51F0" w:rsidRPr="00190CA9" w:rsidRDefault="003D51F0" w:rsidP="00C2231F">
      <w:pPr>
        <w:pStyle w:val="Default"/>
        <w:spacing w:after="120" w:line="240" w:lineRule="exact"/>
        <w:jc w:val="center"/>
        <w:rPr>
          <w:b/>
          <w:bCs/>
          <w:color w:val="FF0000"/>
          <w:sz w:val="28"/>
          <w:szCs w:val="28"/>
        </w:rPr>
      </w:pPr>
      <w:r/>
      <w:r>
        <w:rPr>
          <w:rFonts w:ascii="Times New Roman" w:hAnsi="Times New Roman"/>
          <w:b/>
          <w:sz w:val="26"/>
        </w:rPr>
        <w:t>Course: 25CS1302E – Database Systems &amp; Distributed Backend Development (DBS-DBD)</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
        <w:rPr>
          <w:rFonts w:ascii="Times New Roman" w:hAnsi="Times New Roman"/>
          <w:sz w:val="25"/>
        </w:rPr>
        <w:t>Submitted by</w:t>
      </w:r>
    </w:p>
    <w:p w14:paraId="3C5BECF8" w14:textId="226B03D2" w:rsidR="00AD0A38" w:rsidRPr="008B5E6E" w:rsidRDefault="00AD0A38" w:rsidP="00C2231F">
      <w:pPr>
        <w:pStyle w:val="Default"/>
        <w:spacing w:after="120" w:line="240" w:lineRule="exact"/>
        <w:jc w:val="center"/>
        <w:rPr>
          <w:b/>
          <w:bCs/>
          <w:sz w:val="28"/>
          <w:szCs w:val="28"/>
        </w:rPr>
      </w:pPr>
      <w:r/>
      <w:r>
        <w:rPr>
          <w:rFonts w:ascii="Times New Roman" w:hAnsi="Times New Roman"/>
          <w:b/>
          <w:sz w:val="23"/>
        </w:rPr>
        <w:t>2510030106: Srinath</w:t>
      </w:r>
    </w:p>
    <w:p w14:paraId="45DAFDB8" w14:textId="131BCDB2" w:rsidR="00AD0A38" w:rsidRPr="008B5E6E" w:rsidRDefault="00AD0A38" w:rsidP="00C2231F">
      <w:pPr>
        <w:pStyle w:val="Default"/>
        <w:spacing w:after="120" w:line="240" w:lineRule="exact"/>
        <w:jc w:val="center"/>
        <w:rPr>
          <w:b/>
          <w:bCs/>
          <w:sz w:val="28"/>
          <w:szCs w:val="28"/>
        </w:rPr>
      </w:pPr>
      <w:r/>
      <w:r>
        <w:rPr>
          <w:rFonts w:ascii="Times New Roman" w:hAnsi="Times New Roman"/>
          <w:b/>
          <w:sz w:val="23"/>
        </w:rPr>
        <w:t>2510030103: Abhinay Sai</w:t>
      </w:r>
    </w:p>
    <w:p w14:paraId="6A848B25" w14:textId="0161A43D" w:rsidR="00365AA2" w:rsidRPr="008B5E6E" w:rsidRDefault="00365AA2" w:rsidP="00C2231F">
      <w:pPr>
        <w:pStyle w:val="Default"/>
        <w:spacing w:after="120" w:line="240" w:lineRule="exact"/>
        <w:jc w:val="center"/>
        <w:rPr>
          <w:b/>
          <w:bCs/>
          <w:sz w:val="28"/>
          <w:szCs w:val="28"/>
        </w:rPr>
      </w:pPr>
      <w:r/>
      <w:r>
        <w:rPr>
          <w:rFonts w:ascii="Times New Roman" w:hAnsi="Times New Roman"/>
          <w:b/>
          <w:sz w:val="23"/>
        </w:rPr>
        <w:t>2510030160: Poli Naidu</w:t>
        <w:br/>
        <w:t>2510030083: Chandu</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
        <w:rPr>
          <w:rFonts w:ascii="Times New Roman" w:hAnsi="Times New Roman"/>
          <w:sz w:val="23"/>
        </w:rPr>
        <w:t>Under the guidance of</w:t>
      </w:r>
    </w:p>
    <w:p w14:paraId="4B3E09AA" w14:textId="75E10A7E" w:rsidR="00C2231F" w:rsidRPr="00142813" w:rsidRDefault="00AD0A38" w:rsidP="00C2231F">
      <w:pPr>
        <w:pStyle w:val="Default"/>
        <w:spacing w:after="200" w:line="360" w:lineRule="auto"/>
        <w:jc w:val="center"/>
        <w:rPr>
          <w:b/>
          <w:bCs/>
        </w:rPr>
      </w:pPr>
      <w:r/>
      <w:r>
        <w:rPr>
          <w:rFonts w:ascii="Times New Roman" w:hAnsi="Times New Roman"/>
          <w:b/>
          <w:sz w:val="24"/>
        </w:rPr>
        <w:t>Dr. K Saiadhar</w:t>
        <w:br/>
        <w:t>Course Faculty</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
        <w:rPr>
          <w:rFonts w:ascii="Times New Roman" w:hAnsi="Times New Roman"/>
          <w:b/>
          <w:sz w:val="23"/>
        </w:rPr>
        <w:t>Department of Computer Science and Engineering</w:t>
      </w:r>
    </w:p>
    <w:p w14:paraId="46A8B4EC" w14:textId="061FA85C" w:rsidR="00C2231F" w:rsidRPr="004273FB" w:rsidRDefault="003D51F0" w:rsidP="00C2231F">
      <w:pPr>
        <w:pStyle w:val="Default"/>
        <w:spacing w:after="200" w:line="360" w:lineRule="auto"/>
        <w:jc w:val="center"/>
        <w:rPr>
          <w:sz w:val="23"/>
          <w:szCs w:val="23"/>
        </w:rPr>
      </w:pPr>
      <w:r/>
      <w:r>
        <w:rPr>
          <w:rFonts w:ascii="Times New Roman" w:hAnsi="Times New Roman"/>
          <w:sz w:val="23"/>
        </w:rPr>
        <w:t>Koneru Lakshmaiah Education Foundation, Aziz Nagar</w:t>
      </w:r>
    </w:p>
    <w:p w14:paraId="5131A577" w14:textId="2EC61D1C" w:rsidR="00C2231F" w:rsidRPr="004273FB" w:rsidRDefault="003D51F0" w:rsidP="00C2231F">
      <w:pPr>
        <w:pStyle w:val="Default"/>
        <w:spacing w:after="200" w:line="360" w:lineRule="auto"/>
        <w:jc w:val="center"/>
        <w:rPr>
          <w:sz w:val="23"/>
          <w:szCs w:val="23"/>
        </w:rPr>
      </w:pPr>
      <w:r/>
      <w:r>
        <w:rPr>
          <w:rFonts w:ascii="Times New Roman" w:hAnsi="Times New Roman"/>
          <w:sz w:val="23"/>
        </w:rPr>
        <w:t>Aziz Nagar – 500075, Hyderabad, Telangana</w:t>
      </w:r>
    </w:p>
    <w:p w14:paraId="12F3081D" w14:textId="6A50CD01" w:rsidR="008D3342" w:rsidRDefault="00D05559" w:rsidP="00C2231F">
      <w:pPr>
        <w:spacing w:line="360" w:lineRule="auto"/>
        <w:jc w:val="center"/>
        <w:rPr>
          <w:sz w:val="23"/>
          <w:szCs w:val="23"/>
        </w:rPr>
        <w:sectPr w:rsidR="008D3342" w:rsidSect="00575EB3">
          <w:footerReference w:type="first" r:id="rId9"/>
          <w:type w:val="nextPage"/>
          <w:pgSz w:w="11906" w:h="16838" w:code="9"/>
          <w:pgMar w:top="450" w:right="893" w:bottom="1440" w:left="893" w:header="720" w:footer="720" w:gutter="0"/>
          <w:cols w:space="720"/>
          <w:docGrid w:linePitch="360"/>
        </w:sectPr>
      </w:pPr>
      <w:r/>
      <w:r>
        <w:rPr>
          <w:rFonts w:ascii="Times New Roman" w:hAnsi="Times New Roman"/>
          <w:b/>
          <w:sz w:val="23"/>
        </w:rPr>
        <w:t>ACADEMIC YEAR 2025 – 2026</w:t>
      </w:r>
    </w:p>
    <w:p>
      <w:pPr>
        <w:pStyle w:val="Heading1"/>
        <w:spacing w:before="160" w:after="60" w:line="269" w:lineRule="auto"/>
        <w:jc w:val="left"/>
      </w:pPr>
      <w:r>
        <w:rPr>
          <w:rFonts w:ascii="Times New Roman" w:hAnsi="Times New Roman"/>
          <w:b/>
          <w:i w:val="0"/>
          <w:color w:val="0F172A"/>
          <w:sz w:val="25"/>
        </w:rPr>
        <w:t>ABSTRACT</w:t>
      </w:r>
    </w:p>
    <w:p>
      <w:pPr>
        <w:pStyle w:val="BodyText"/>
        <w:spacing w:before="0" w:after="160" w:line="283" w:lineRule="auto"/>
        <w:jc w:val="both"/>
      </w:pPr>
      <w:r>
        <w:rPr>
          <w:rFonts w:ascii="Times New Roman" w:hAnsi="Times New Roman"/>
          <w:b w:val="0"/>
          <w:i w:val="0"/>
          <w:sz w:val="20"/>
        </w:rPr>
        <w:t>Modern digital commerce architectures face critical engineering bottlenecks at the intersection of high-throughput transactional consistency, unstructured catalog variability, sub-millisecond search latencies, and distributed multi-warehouse fulfillment logistics. Conventional monolithic relational database management systems (RDBMS) suffer from rigid table schemas, high lock contention, and vertical scaling ceilings. Conversely, naive NoSQL implementations sacrifice strict ACID (Atomicity, Consistency, Isolation, Durability) guarantees, precipitating destructive race conditions and catastrophic inventory overselling during promotional flash-sales. This project presents NexCommerce, an enterprise-grade distributed digital commerce platform powered by a synchronized polyglot persistence architecture. NexCommerce strategically couples PostgreSQL 16 (relational core with 3NF ACID transaction management and pgvector AI semantic embeddings), MongoDB 7.0 (schema-free polymorphic BSON document catalog and customer reviews), and Redis 7.2 (in-memory sub-millisecond cache-aside layer and distributed stock reservation mutex locks with 10-minute time-to-live). To guarantee zero overselling across distributed checkout sessions, the platform implements a Two-Phase Commit (2PC) Distributed Transaction Coordinator and the Saga pattern with compensating rollback actions. A Master Admin Security PIN protocol (PIN: 7788) prevents unauthorized privilege escalation for administrative and warehouse management operations. Furthermore, the platform integrates a real-time Polyglot Database Command Center &amp; Live Inspector that provides active 3-way transactional integrity verification across PostgreSQL, MongoDB, and Redis. Comprehensive empirical benchmarking across 15 automated test cases (TC01–TC15) demonstrates 100% invariant preservation, sub-millisecond cache hits (0.18 ms), robust throughput under 2,000 concurrent client connections, and precise AI-driven semantic product discovery.</w:t>
      </w:r>
    </w:p>
    <w:p>
      <w:pPr>
        <w:pStyle w:val="BodyText"/>
        <w:spacing w:before="0" w:after="160" w:line="269" w:lineRule="auto"/>
        <w:jc w:val="both"/>
      </w:pPr>
      <w:r>
        <w:rPr>
          <w:rFonts w:ascii="Times New Roman" w:hAnsi="Times New Roman"/>
          <w:b/>
          <w:i w:val="0"/>
          <w:sz w:val="20"/>
        </w:rPr>
        <w:t>Keywords: Polyglot Persistence, Distributed Transactions, PostgreSQL ACID, MongoDB BSON Catalog, Redis Distributed Mutex Locks, Two-Phase Commit (2PC), pgvector Semantic Embeddings, Master Admin Security PIN, Multi-Warehouse Fulfillment.</w:t>
      </w:r>
    </w:p>
    <w:p>
      <w:pPr>
        <w:pStyle w:val="Heading1"/>
        <w:pageBreakBefore/>
        <w:spacing w:before="160" w:after="60" w:line="269" w:lineRule="auto"/>
        <w:jc w:val="left"/>
      </w:pPr>
      <w:r>
        <w:rPr>
          <w:rFonts w:ascii="Times New Roman" w:hAnsi="Times New Roman"/>
          <w:b/>
          <w:i w:val="0"/>
          <w:color w:val="0F172A"/>
          <w:sz w:val="25"/>
        </w:rPr>
        <w:t>TABLE OF CONTENTS</w:t>
      </w:r>
    </w:p>
    <w:p>
      <w:pPr>
        <w:spacing w:before="14" w:after="14"/>
        <w:ind w:left="360"/>
      </w:pPr>
      <w:r>
        <w:rPr>
          <w:rFonts w:ascii="Times New Roman" w:hAnsi="Times New Roman"/>
          <w:b/>
          <w:sz w:val="17"/>
        </w:rPr>
        <w:t>1. INTRODUCTION &amp; PROBLEM FORMULATION</w:t>
      </w:r>
      <w:r>
        <w:rPr>
          <w:rFonts w:ascii="Times New Roman" w:hAnsi="Times New Roman"/>
          <w:color w:val="6B7280"/>
          <w:sz w:val="17"/>
        </w:rPr>
        <w:t xml:space="preserve"> .................................................. 5</w:t>
      </w:r>
    </w:p>
    <w:p>
      <w:pPr>
        <w:spacing w:before="14" w:after="14"/>
        <w:ind w:left="360"/>
      </w:pPr>
      <w:r>
        <w:rPr>
          <w:rFonts w:ascii="Times New Roman" w:hAnsi="Times New Roman"/>
          <w:sz w:val="17"/>
        </w:rPr>
        <w:t xml:space="preserve">   1.1 Motivation &amp; Background of Distributed Digital Commerce</w:t>
      </w:r>
      <w:r>
        <w:rPr>
          <w:rFonts w:ascii="Times New Roman" w:hAnsi="Times New Roman"/>
          <w:color w:val="6B7280"/>
          <w:sz w:val="17"/>
        </w:rPr>
        <w:t xml:space="preserve"> ......................... 5</w:t>
      </w:r>
    </w:p>
    <w:p>
      <w:pPr>
        <w:spacing w:before="14" w:after="14"/>
        <w:ind w:left="360"/>
      </w:pPr>
      <w:r>
        <w:rPr>
          <w:rFonts w:ascii="Times New Roman" w:hAnsi="Times New Roman"/>
          <w:sz w:val="17"/>
        </w:rPr>
        <w:t xml:space="preserve">   1.2 Architectural Limitations: Monolithic RDBMS vs Polyglot Persistence</w:t>
      </w:r>
      <w:r>
        <w:rPr>
          <w:rFonts w:ascii="Times New Roman" w:hAnsi="Times New Roman"/>
          <w:color w:val="6B7280"/>
          <w:sz w:val="17"/>
        </w:rPr>
        <w:t xml:space="preserve"> ............. 5</w:t>
      </w:r>
    </w:p>
    <w:p>
      <w:pPr>
        <w:spacing w:before="14" w:after="14"/>
        <w:ind w:left="360"/>
      </w:pPr>
      <w:r>
        <w:rPr>
          <w:rFonts w:ascii="Times New Roman" w:hAnsi="Times New Roman"/>
          <w:sz w:val="17"/>
        </w:rPr>
        <w:t xml:space="preserve">   1.3 Core Operational Challenges &amp; Multi-Warehouse Race Conditions</w:t>
      </w:r>
      <w:r>
        <w:rPr>
          <w:rFonts w:ascii="Times New Roman" w:hAnsi="Times New Roman"/>
          <w:color w:val="6B7280"/>
          <w:sz w:val="17"/>
        </w:rPr>
        <w:t xml:space="preserve"> ................... 5</w:t>
      </w:r>
    </w:p>
    <w:p>
      <w:pPr>
        <w:spacing w:before="14" w:after="14"/>
        <w:ind w:left="360"/>
      </w:pPr>
      <w:r>
        <w:rPr>
          <w:rFonts w:ascii="Times New Roman" w:hAnsi="Times New Roman"/>
          <w:sz w:val="17"/>
        </w:rPr>
        <w:t xml:space="preserve">   1.4 Project Technical Objectives &amp; Engineering Goals</w:t>
      </w:r>
      <w:r>
        <w:rPr>
          <w:rFonts w:ascii="Times New Roman" w:hAnsi="Times New Roman"/>
          <w:color w:val="6B7280"/>
          <w:sz w:val="17"/>
        </w:rPr>
        <w:t xml:space="preserve"> ................................ 6</w:t>
      </w:r>
    </w:p>
    <w:p>
      <w:pPr>
        <w:spacing w:before="14" w:after="14"/>
        <w:ind w:left="360"/>
      </w:pPr>
      <w:r>
        <w:rPr>
          <w:rFonts w:ascii="Times New Roman" w:hAnsi="Times New Roman"/>
          <w:sz w:val="17"/>
        </w:rPr>
        <w:t xml:space="preserve">   1.5 Scope, Boundaries, and Platform Deliverables</w:t>
      </w:r>
      <w:r>
        <w:rPr>
          <w:rFonts w:ascii="Times New Roman" w:hAnsi="Times New Roman"/>
          <w:color w:val="6B7280"/>
          <w:sz w:val="17"/>
        </w:rPr>
        <w:t xml:space="preserve"> .................................... 6</w:t>
      </w:r>
    </w:p>
    <w:p>
      <w:pPr>
        <w:spacing w:before="14" w:after="14"/>
        <w:ind w:left="360"/>
      </w:pPr>
      <w:r>
        <w:rPr>
          <w:rFonts w:ascii="Times New Roman" w:hAnsi="Times New Roman"/>
          <w:sz w:val="17"/>
        </w:rPr>
        <w:t xml:space="preserve">   1.6 Theoretical Synthesis &amp; CAP / PACELC Trade-Off Analysis</w:t>
      </w:r>
      <w:r>
        <w:rPr>
          <w:rFonts w:ascii="Times New Roman" w:hAnsi="Times New Roman"/>
          <w:color w:val="6B7280"/>
          <w:sz w:val="17"/>
        </w:rPr>
        <w:t xml:space="preserve"> ......................... 6</w:t>
      </w:r>
    </w:p>
    <w:p>
      <w:pPr>
        <w:spacing w:before="14" w:after="14"/>
        <w:ind w:left="360"/>
      </w:pPr>
      <w:r>
        <w:rPr>
          <w:rFonts w:ascii="Times New Roman" w:hAnsi="Times New Roman"/>
          <w:b/>
          <w:sz w:val="17"/>
        </w:rPr>
        <w:t>2. LITERATURE REVIEW &amp; GAP ANALYSIS</w:t>
      </w:r>
      <w:r>
        <w:rPr>
          <w:rFonts w:ascii="Times New Roman" w:hAnsi="Times New Roman"/>
          <w:color w:val="6B7280"/>
          <w:sz w:val="17"/>
        </w:rPr>
        <w:t xml:space="preserve"> .................................................... 7</w:t>
      </w:r>
    </w:p>
    <w:p>
      <w:pPr>
        <w:spacing w:before="14" w:after="14"/>
        <w:ind w:left="360"/>
      </w:pPr>
      <w:r>
        <w:rPr>
          <w:rFonts w:ascii="Times New Roman" w:hAnsi="Times New Roman"/>
          <w:sz w:val="17"/>
        </w:rPr>
        <w:t xml:space="preserve">   2.1 Survey of Distributed Concurrency Control &amp; ACID Transaction Models</w:t>
      </w:r>
      <w:r>
        <w:rPr>
          <w:rFonts w:ascii="Times New Roman" w:hAnsi="Times New Roman"/>
          <w:color w:val="6B7280"/>
          <w:sz w:val="17"/>
        </w:rPr>
        <w:t xml:space="preserve"> ............. 7</w:t>
      </w:r>
    </w:p>
    <w:p>
      <w:pPr>
        <w:spacing w:before="14" w:after="14"/>
        <w:ind w:left="360"/>
      </w:pPr>
      <w:r>
        <w:rPr>
          <w:rFonts w:ascii="Times New Roman" w:hAnsi="Times New Roman"/>
          <w:sz w:val="17"/>
        </w:rPr>
        <w:t xml:space="preserve">   2.2 Polyglot Persistence in Modern Enterprise E-Commerce</w:t>
      </w:r>
      <w:r>
        <w:rPr>
          <w:rFonts w:ascii="Times New Roman" w:hAnsi="Times New Roman"/>
          <w:color w:val="6B7280"/>
          <w:sz w:val="17"/>
        </w:rPr>
        <w:t xml:space="preserve"> ............................ 7</w:t>
      </w:r>
    </w:p>
    <w:p>
      <w:pPr>
        <w:spacing w:before="14" w:after="14"/>
        <w:ind w:left="360"/>
      </w:pPr>
      <w:r>
        <w:rPr>
          <w:rFonts w:ascii="Times New Roman" w:hAnsi="Times New Roman"/>
          <w:sz w:val="17"/>
        </w:rPr>
        <w:t xml:space="preserve">   2.3 Distributed Mutex Locking &amp; Cache-Aside TTL Patterns</w:t>
      </w:r>
      <w:r>
        <w:rPr>
          <w:rFonts w:ascii="Times New Roman" w:hAnsi="Times New Roman"/>
          <w:color w:val="6B7280"/>
          <w:sz w:val="17"/>
        </w:rPr>
        <w:t xml:space="preserve"> ............................ 7</w:t>
      </w:r>
    </w:p>
    <w:p>
      <w:pPr>
        <w:spacing w:before="14" w:after="14"/>
        <w:ind w:left="360"/>
      </w:pPr>
      <w:r>
        <w:rPr>
          <w:rFonts w:ascii="Times New Roman" w:hAnsi="Times New Roman"/>
          <w:sz w:val="17"/>
        </w:rPr>
        <w:t xml:space="preserve">   2.4 Vector Search, Semantic Embeddings &amp; Recommendation Engines</w:t>
      </w:r>
      <w:r>
        <w:rPr>
          <w:rFonts w:ascii="Times New Roman" w:hAnsi="Times New Roman"/>
          <w:color w:val="6B7280"/>
          <w:sz w:val="17"/>
        </w:rPr>
        <w:t xml:space="preserve"> ..................... 7</w:t>
      </w:r>
    </w:p>
    <w:p>
      <w:pPr>
        <w:spacing w:before="14" w:after="14"/>
        <w:ind w:left="360"/>
      </w:pPr>
      <w:r>
        <w:rPr>
          <w:rFonts w:ascii="Times New Roman" w:hAnsi="Times New Roman"/>
          <w:sz w:val="17"/>
        </w:rPr>
        <w:t xml:space="preserve">   2.5 Literature Review Comparison Matrix (Table 1)</w:t>
      </w:r>
      <w:r>
        <w:rPr>
          <w:rFonts w:ascii="Times New Roman" w:hAnsi="Times New Roman"/>
          <w:color w:val="6B7280"/>
          <w:sz w:val="17"/>
        </w:rPr>
        <w:t xml:space="preserve"> ................................... 8</w:t>
      </w:r>
    </w:p>
    <w:p>
      <w:pPr>
        <w:spacing w:before="14" w:after="14"/>
        <w:ind w:left="360"/>
      </w:pPr>
      <w:r>
        <w:rPr>
          <w:rFonts w:ascii="Times New Roman" w:hAnsi="Times New Roman"/>
          <w:sz w:val="17"/>
        </w:rPr>
        <w:t xml:space="preserve">   2.6 Critical Gap Analysis &amp; NexCommerce Research Novelty</w:t>
      </w:r>
      <w:r>
        <w:rPr>
          <w:rFonts w:ascii="Times New Roman" w:hAnsi="Times New Roman"/>
          <w:color w:val="6B7280"/>
          <w:sz w:val="17"/>
        </w:rPr>
        <w:t xml:space="preserve"> ............................ 8</w:t>
      </w:r>
    </w:p>
    <w:p>
      <w:pPr>
        <w:spacing w:before="14" w:after="14"/>
        <w:ind w:left="360"/>
      </w:pPr>
      <w:r>
        <w:rPr>
          <w:rFonts w:ascii="Times New Roman" w:hAnsi="Times New Roman"/>
          <w:b/>
          <w:sz w:val="17"/>
        </w:rPr>
        <w:t>3. SYSTEM ARCHITECTURE &amp; DISTRIBUTED ENGINEERING</w:t>
      </w:r>
      <w:r>
        <w:rPr>
          <w:rFonts w:ascii="Times New Roman" w:hAnsi="Times New Roman"/>
          <w:color w:val="6B7280"/>
          <w:sz w:val="17"/>
        </w:rPr>
        <w:t xml:space="preserve"> ....................................... 9</w:t>
      </w:r>
    </w:p>
    <w:p>
      <w:pPr>
        <w:spacing w:before="14" w:after="14"/>
        <w:ind w:left="360"/>
      </w:pPr>
      <w:r>
        <w:rPr>
          <w:rFonts w:ascii="Times New Roman" w:hAnsi="Times New Roman"/>
          <w:sz w:val="17"/>
        </w:rPr>
        <w:t xml:space="preserve">   3.1 High-Level Distributed Architecture Topology &amp; Docker Orchestration</w:t>
      </w:r>
      <w:r>
        <w:rPr>
          <w:rFonts w:ascii="Times New Roman" w:hAnsi="Times New Roman"/>
          <w:color w:val="6B7280"/>
          <w:sz w:val="17"/>
        </w:rPr>
        <w:t xml:space="preserve"> ............. 9</w:t>
      </w:r>
    </w:p>
    <w:p>
      <w:pPr>
        <w:spacing w:before="14" w:after="14"/>
        <w:ind w:left="360"/>
      </w:pPr>
      <w:r>
        <w:rPr>
          <w:rFonts w:ascii="Times New Roman" w:hAnsi="Times New Roman"/>
          <w:sz w:val="17"/>
        </w:rPr>
        <w:t xml:space="preserve">   3.2 Microservices Decomposition &amp; Inter-Service Communication</w:t>
      </w:r>
      <w:r>
        <w:rPr>
          <w:rFonts w:ascii="Times New Roman" w:hAnsi="Times New Roman"/>
          <w:color w:val="6B7280"/>
          <w:sz w:val="17"/>
        </w:rPr>
        <w:t xml:space="preserve"> ....................... 9</w:t>
      </w:r>
    </w:p>
    <w:p>
      <w:pPr>
        <w:spacing w:before="14" w:after="14"/>
        <w:ind w:left="360"/>
      </w:pPr>
      <w:r>
        <w:rPr>
          <w:rFonts w:ascii="Times New Roman" w:hAnsi="Times New Roman"/>
          <w:sz w:val="17"/>
        </w:rPr>
        <w:t xml:space="preserve">   3.3 Two-Phase Commit (2PC) Distributed Transaction Coordinator</w:t>
      </w:r>
      <w:r>
        <w:rPr>
          <w:rFonts w:ascii="Times New Roman" w:hAnsi="Times New Roman"/>
          <w:color w:val="6B7280"/>
          <w:sz w:val="17"/>
        </w:rPr>
        <w:t xml:space="preserve"> ..................... 10</w:t>
      </w:r>
    </w:p>
    <w:p>
      <w:pPr>
        <w:spacing w:before="14" w:after="14"/>
        <w:ind w:left="360"/>
      </w:pPr>
      <w:r>
        <w:rPr>
          <w:rFonts w:ascii="Times New Roman" w:hAnsi="Times New Roman"/>
          <w:sz w:val="17"/>
        </w:rPr>
        <w:t xml:space="preserve">   3.4 Redis Mutex Locking Protocol &amp; Redlock Algorithm</w:t>
      </w:r>
      <w:r>
        <w:rPr>
          <w:rFonts w:ascii="Times New Roman" w:hAnsi="Times New Roman"/>
          <w:color w:val="6B7280"/>
          <w:sz w:val="17"/>
        </w:rPr>
        <w:t xml:space="preserve"> ............................... 10</w:t>
      </w:r>
    </w:p>
    <w:p>
      <w:pPr>
        <w:spacing w:before="14" w:after="14"/>
        <w:ind w:left="360"/>
      </w:pPr>
      <w:r>
        <w:rPr>
          <w:rFonts w:ascii="Times New Roman" w:hAnsi="Times New Roman"/>
          <w:sz w:val="17"/>
        </w:rPr>
        <w:t xml:space="preserve">   3.5 Master Admin Security PIN Authorization Protocol</w:t>
      </w:r>
      <w:r>
        <w:rPr>
          <w:rFonts w:ascii="Times New Roman" w:hAnsi="Times New Roman"/>
          <w:color w:val="6B7280"/>
          <w:sz w:val="17"/>
        </w:rPr>
        <w:t xml:space="preserve"> ............................... 10</w:t>
      </w:r>
    </w:p>
    <w:p>
      <w:pPr>
        <w:spacing w:before="14" w:after="14"/>
        <w:ind w:left="360"/>
      </w:pPr>
      <w:r>
        <w:rPr>
          <w:rFonts w:ascii="Times New Roman" w:hAnsi="Times New Roman"/>
          <w:b/>
          <w:sz w:val="17"/>
        </w:rPr>
        <w:t>4. DETAILED DATABASE ENGINEERING &amp; SCHEMA DESIGN</w:t>
      </w:r>
      <w:r>
        <w:rPr>
          <w:rFonts w:ascii="Times New Roman" w:hAnsi="Times New Roman"/>
          <w:color w:val="6B7280"/>
          <w:sz w:val="17"/>
        </w:rPr>
        <w:t xml:space="preserve"> ...................................... 11</w:t>
      </w:r>
    </w:p>
    <w:p>
      <w:pPr>
        <w:spacing w:before="14" w:after="14"/>
        <w:ind w:left="360"/>
      </w:pPr>
      <w:r>
        <w:rPr>
          <w:rFonts w:ascii="Times New Roman" w:hAnsi="Times New Roman"/>
          <w:sz w:val="17"/>
        </w:rPr>
        <w:t xml:space="preserve">   4.1 Relational Schema Engineering (PostgreSQL 16 Core)</w:t>
      </w:r>
      <w:r>
        <w:rPr>
          <w:rFonts w:ascii="Times New Roman" w:hAnsi="Times New Roman"/>
          <w:color w:val="6B7280"/>
          <w:sz w:val="17"/>
        </w:rPr>
        <w:t xml:space="preserve"> ............................. 11</w:t>
      </w:r>
    </w:p>
    <w:p>
      <w:pPr>
        <w:spacing w:before="14" w:after="14"/>
        <w:ind w:left="360"/>
      </w:pPr>
      <w:r>
        <w:rPr>
          <w:rFonts w:ascii="Times New Roman" w:hAnsi="Times New Roman"/>
          <w:sz w:val="17"/>
        </w:rPr>
        <w:t xml:space="preserve">   4.2 Document Data Modeling (MongoDB 7.0 BSON Store)</w:t>
      </w:r>
      <w:r>
        <w:rPr>
          <w:rFonts w:ascii="Times New Roman" w:hAnsi="Times New Roman"/>
          <w:color w:val="6B7280"/>
          <w:sz w:val="17"/>
        </w:rPr>
        <w:t xml:space="preserve"> ................................ 11</w:t>
      </w:r>
    </w:p>
    <w:p>
      <w:pPr>
        <w:spacing w:before="14" w:after="14"/>
        <w:ind w:left="360"/>
      </w:pPr>
      <w:r>
        <w:rPr>
          <w:rFonts w:ascii="Times New Roman" w:hAnsi="Times New Roman"/>
          <w:sz w:val="17"/>
        </w:rPr>
        <w:t xml:space="preserve">   4.3 In-Memory Key-Value &amp; Lock Schemas (Redis 7.2)</w:t>
      </w:r>
      <w:r>
        <w:rPr>
          <w:rFonts w:ascii="Times New Roman" w:hAnsi="Times New Roman"/>
          <w:color w:val="6B7280"/>
          <w:sz w:val="17"/>
        </w:rPr>
        <w:t xml:space="preserve"> ................................. 12</w:t>
      </w:r>
    </w:p>
    <w:p>
      <w:pPr>
        <w:spacing w:before="14" w:after="14"/>
        <w:ind w:left="360"/>
      </w:pPr>
      <w:r>
        <w:rPr>
          <w:rFonts w:ascii="Times New Roman" w:hAnsi="Times New Roman"/>
          <w:sz w:val="17"/>
        </w:rPr>
        <w:t xml:space="preserve">   4.4 Formal Database Normalization Proofs (1NF, 2NF, 3NF, BCNF)</w:t>
      </w:r>
      <w:r>
        <w:rPr>
          <w:rFonts w:ascii="Times New Roman" w:hAnsi="Times New Roman"/>
          <w:color w:val="6B7280"/>
          <w:sz w:val="17"/>
        </w:rPr>
        <w:t xml:space="preserve"> ..................... 12</w:t>
      </w:r>
    </w:p>
    <w:p>
      <w:pPr>
        <w:spacing w:before="14" w:after="14"/>
        <w:ind w:left="360"/>
      </w:pPr>
      <w:r>
        <w:rPr>
          <w:rFonts w:ascii="Times New Roman" w:hAnsi="Times New Roman"/>
          <w:sz w:val="17"/>
        </w:rPr>
        <w:t xml:space="preserve">   4.5 ACID Transaction Invariant Proofs</w:t>
      </w:r>
      <w:r>
        <w:rPr>
          <w:rFonts w:ascii="Times New Roman" w:hAnsi="Times New Roman"/>
          <w:color w:val="6B7280"/>
          <w:sz w:val="17"/>
        </w:rPr>
        <w:t xml:space="preserve"> .............................................. 12</w:t>
      </w:r>
    </w:p>
    <w:p>
      <w:pPr>
        <w:spacing w:before="14" w:after="14"/>
        <w:ind w:left="360"/>
      </w:pPr>
      <w:r>
        <w:rPr>
          <w:rFonts w:ascii="Times New Roman" w:hAnsi="Times New Roman"/>
          <w:b/>
          <w:sz w:val="17"/>
        </w:rPr>
        <w:t>5. IMPLEMENTATION DETAILS, MODULES &amp; SOURCE CODE</w:t>
      </w:r>
      <w:r>
        <w:rPr>
          <w:rFonts w:ascii="Times New Roman" w:hAnsi="Times New Roman"/>
          <w:color w:val="6B7280"/>
          <w:sz w:val="17"/>
        </w:rPr>
        <w:t xml:space="preserve"> ...................................... 13</w:t>
      </w:r>
    </w:p>
    <w:p>
      <w:pPr>
        <w:spacing w:before="14" w:after="14"/>
        <w:ind w:left="360"/>
      </w:pPr>
      <w:r>
        <w:rPr>
          <w:rFonts w:ascii="Times New Roman" w:hAnsi="Times New Roman"/>
          <w:sz w:val="17"/>
        </w:rPr>
        <w:t xml:space="preserve">   5.1 Backend Microservices &amp; API Gateway Routing</w:t>
      </w:r>
      <w:r>
        <w:rPr>
          <w:rFonts w:ascii="Times New Roman" w:hAnsi="Times New Roman"/>
          <w:color w:val="6B7280"/>
          <w:sz w:val="17"/>
        </w:rPr>
        <w:t xml:space="preserve"> .................................... 13</w:t>
      </w:r>
    </w:p>
    <w:p>
      <w:pPr>
        <w:spacing w:before="14" w:after="14"/>
        <w:ind w:left="360"/>
      </w:pPr>
      <w:r>
        <w:rPr>
          <w:rFonts w:ascii="Times New Roman" w:hAnsi="Times New Roman"/>
          <w:sz w:val="17"/>
        </w:rPr>
        <w:t xml:space="preserve">   5.2 Polyglot Database Command Center &amp; Live Inspector</w:t>
      </w:r>
      <w:r>
        <w:rPr>
          <w:rFonts w:ascii="Times New Roman" w:hAnsi="Times New Roman"/>
          <w:color w:val="6B7280"/>
          <w:sz w:val="17"/>
        </w:rPr>
        <w:t xml:space="preserve"> .............................. 13</w:t>
      </w:r>
    </w:p>
    <w:p>
      <w:pPr>
        <w:spacing w:before="14" w:after="14"/>
        <w:ind w:left="360"/>
      </w:pPr>
      <w:r>
        <w:rPr>
          <w:rFonts w:ascii="Times New Roman" w:hAnsi="Times New Roman"/>
          <w:sz w:val="17"/>
        </w:rPr>
        <w:t xml:space="preserve">   5.3 Simulated Indian Payment Gateway (UPI, Cards, NetBanking)</w:t>
      </w:r>
      <w:r>
        <w:rPr>
          <w:rFonts w:ascii="Times New Roman" w:hAnsi="Times New Roman"/>
          <w:color w:val="6B7280"/>
          <w:sz w:val="17"/>
        </w:rPr>
        <w:t xml:space="preserve"> ...................... 14</w:t>
      </w:r>
    </w:p>
    <w:p>
      <w:pPr>
        <w:spacing w:before="14" w:after="14"/>
        <w:ind w:left="360"/>
      </w:pPr>
      <w:r>
        <w:rPr>
          <w:rFonts w:ascii="Times New Roman" w:hAnsi="Times New Roman"/>
          <w:sz w:val="17"/>
        </w:rPr>
        <w:t xml:space="preserve">   5.4 Selected Source Code Listings with Technical Commentary</w:t>
      </w:r>
      <w:r>
        <w:rPr>
          <w:rFonts w:ascii="Times New Roman" w:hAnsi="Times New Roman"/>
          <w:color w:val="6B7280"/>
          <w:sz w:val="17"/>
        </w:rPr>
        <w:t xml:space="preserve"> ........................ 14</w:t>
      </w:r>
    </w:p>
    <w:p>
      <w:pPr>
        <w:spacing w:before="14" w:after="14"/>
        <w:ind w:left="360"/>
      </w:pPr>
      <w:r>
        <w:rPr>
          <w:rFonts w:ascii="Times New Roman" w:hAnsi="Times New Roman"/>
          <w:b/>
          <w:sz w:val="17"/>
        </w:rPr>
        <w:t>6. EXPERIMENTAL SETUP, BENCHMARKS &amp; RESULTS ANALYSIS</w:t>
      </w:r>
      <w:r>
        <w:rPr>
          <w:rFonts w:ascii="Times New Roman" w:hAnsi="Times New Roman"/>
          <w:color w:val="6B7280"/>
          <w:sz w:val="17"/>
        </w:rPr>
        <w:t xml:space="preserve"> .................................. 15</w:t>
      </w:r>
    </w:p>
    <w:p>
      <w:pPr>
        <w:spacing w:before="14" w:after="14"/>
        <w:ind w:left="360"/>
      </w:pPr>
      <w:r>
        <w:rPr>
          <w:rFonts w:ascii="Times New Roman" w:hAnsi="Times New Roman"/>
          <w:sz w:val="17"/>
        </w:rPr>
        <w:t xml:space="preserve">   6.1 Experimental Hardware &amp; Software Testbed Configuration</w:t>
      </w:r>
      <w:r>
        <w:rPr>
          <w:rFonts w:ascii="Times New Roman" w:hAnsi="Times New Roman"/>
          <w:color w:val="6B7280"/>
          <w:sz w:val="17"/>
        </w:rPr>
        <w:t xml:space="preserve"> ......................... 15</w:t>
      </w:r>
    </w:p>
    <w:p>
      <w:pPr>
        <w:spacing w:before="14" w:after="14"/>
        <w:ind w:left="360"/>
      </w:pPr>
      <w:r>
        <w:rPr>
          <w:rFonts w:ascii="Times New Roman" w:hAnsi="Times New Roman"/>
          <w:sz w:val="17"/>
        </w:rPr>
        <w:t xml:space="preserve">   6.2 Latency Benchmark: PostgreSQL vs MongoDB vs Redis</w:t>
      </w:r>
      <w:r>
        <w:rPr>
          <w:rFonts w:ascii="Times New Roman" w:hAnsi="Times New Roman"/>
          <w:color w:val="6B7280"/>
          <w:sz w:val="17"/>
        </w:rPr>
        <w:t xml:space="preserve"> .............................. 15</w:t>
      </w:r>
    </w:p>
    <w:p>
      <w:pPr>
        <w:spacing w:before="14" w:after="14"/>
        <w:ind w:left="360"/>
      </w:pPr>
      <w:r>
        <w:rPr>
          <w:rFonts w:ascii="Times New Roman" w:hAnsi="Times New Roman"/>
          <w:sz w:val="17"/>
        </w:rPr>
        <w:t xml:space="preserve">   6.3 Throughput &amp; Stress Testing Under High Concurrency</w:t>
      </w:r>
      <w:r>
        <w:rPr>
          <w:rFonts w:ascii="Times New Roman" w:hAnsi="Times New Roman"/>
          <w:color w:val="6B7280"/>
          <w:sz w:val="17"/>
        </w:rPr>
        <w:t xml:space="preserve"> ............................. 15</w:t>
      </w:r>
    </w:p>
    <w:p>
      <w:pPr>
        <w:spacing w:before="14" w:after="14"/>
        <w:ind w:left="360"/>
      </w:pPr>
      <w:r>
        <w:rPr>
          <w:rFonts w:ascii="Times New Roman" w:hAnsi="Times New Roman"/>
          <w:sz w:val="17"/>
        </w:rPr>
        <w:t xml:space="preserve">   6.4 Cache-Aside Warmup &amp; Storefront Latency Attenuation</w:t>
      </w:r>
      <w:r>
        <w:rPr>
          <w:rFonts w:ascii="Times New Roman" w:hAnsi="Times New Roman"/>
          <w:color w:val="6B7280"/>
          <w:sz w:val="17"/>
        </w:rPr>
        <w:t xml:space="preserve"> ............................ 16</w:t>
      </w:r>
    </w:p>
    <w:p>
      <w:pPr>
        <w:spacing w:before="14" w:after="14"/>
        <w:ind w:left="360"/>
      </w:pPr>
      <w:r>
        <w:rPr>
          <w:rFonts w:ascii="Times New Roman" w:hAnsi="Times New Roman"/>
          <w:sz w:val="17"/>
        </w:rPr>
        <w:t xml:space="preserve">   6.5 pgvector Dense Semantic Similarity &amp; Recommender Separation</w:t>
      </w:r>
      <w:r>
        <w:rPr>
          <w:rFonts w:ascii="Times New Roman" w:hAnsi="Times New Roman"/>
          <w:color w:val="6B7280"/>
          <w:sz w:val="17"/>
        </w:rPr>
        <w:t xml:space="preserve"> .................... 16</w:t>
      </w:r>
    </w:p>
    <w:p>
      <w:pPr>
        <w:spacing w:before="14" w:after="14"/>
        <w:ind w:left="360"/>
      </w:pPr>
      <w:r>
        <w:rPr>
          <w:rFonts w:ascii="Times New Roman" w:hAnsi="Times New Roman"/>
          <w:b/>
          <w:sz w:val="17"/>
        </w:rPr>
        <w:t>7. AUTOMATED VERIFICATION SUITE (TC01–TC15)</w:t>
      </w:r>
      <w:r>
        <w:rPr>
          <w:rFonts w:ascii="Times New Roman" w:hAnsi="Times New Roman"/>
          <w:color w:val="6B7280"/>
          <w:sz w:val="17"/>
        </w:rPr>
        <w:t xml:space="preserve"> ........................................... 17</w:t>
      </w:r>
    </w:p>
    <w:p>
      <w:pPr>
        <w:spacing w:before="14" w:after="14"/>
        <w:ind w:left="360"/>
      </w:pPr>
      <w:r>
        <w:rPr>
          <w:rFonts w:ascii="Times New Roman" w:hAnsi="Times New Roman"/>
          <w:sz w:val="17"/>
        </w:rPr>
        <w:t xml:space="preserve">   7.1 Verification Methodology &amp; Invariant Assertion Strategy</w:t>
      </w:r>
      <w:r>
        <w:rPr>
          <w:rFonts w:ascii="Times New Roman" w:hAnsi="Times New Roman"/>
          <w:color w:val="6B7280"/>
          <w:sz w:val="17"/>
        </w:rPr>
        <w:t xml:space="preserve"> ........................ 17</w:t>
      </w:r>
    </w:p>
    <w:p>
      <w:pPr>
        <w:spacing w:before="14" w:after="14"/>
        <w:ind w:left="360"/>
      </w:pPr>
      <w:r>
        <w:rPr>
          <w:rFonts w:ascii="Times New Roman" w:hAnsi="Times New Roman"/>
          <w:sz w:val="17"/>
        </w:rPr>
        <w:t xml:space="preserve">   7.2 Comprehensive Test Suite Summary Matrix (TC01–TC15)</w:t>
      </w:r>
      <w:r>
        <w:rPr>
          <w:rFonts w:ascii="Times New Roman" w:hAnsi="Times New Roman"/>
          <w:color w:val="6B7280"/>
          <w:sz w:val="17"/>
        </w:rPr>
        <w:t xml:space="preserve"> ............................ 17</w:t>
      </w:r>
    </w:p>
    <w:p>
      <w:pPr>
        <w:spacing w:before="14" w:after="14"/>
        <w:ind w:left="360"/>
      </w:pPr>
      <w:r>
        <w:rPr>
          <w:rFonts w:ascii="Times New Roman" w:hAnsi="Times New Roman"/>
          <w:sz w:val="17"/>
        </w:rPr>
        <w:t xml:space="preserve">   7.3 Concurrency Stress Verification &amp; Invariant Analysis</w:t>
      </w:r>
      <w:r>
        <w:rPr>
          <w:rFonts w:ascii="Times New Roman" w:hAnsi="Times New Roman"/>
          <w:color w:val="6B7280"/>
          <w:sz w:val="17"/>
        </w:rPr>
        <w:t xml:space="preserve"> ........................... 17</w:t>
      </w:r>
    </w:p>
    <w:p>
      <w:pPr>
        <w:spacing w:before="14" w:after="14"/>
        <w:ind w:left="360"/>
      </w:pPr>
      <w:r>
        <w:rPr>
          <w:rFonts w:ascii="Times New Roman" w:hAnsi="Times New Roman"/>
          <w:b/>
          <w:sz w:val="17"/>
        </w:rPr>
        <w:t>8. CONCLUSION &amp; FUTURE SCOPE</w:t>
      </w:r>
      <w:r>
        <w:rPr>
          <w:rFonts w:ascii="Times New Roman" w:hAnsi="Times New Roman"/>
          <w:color w:val="6B7280"/>
          <w:sz w:val="17"/>
        </w:rPr>
        <w:t xml:space="preserve"> .......................................................... 18</w:t>
      </w:r>
    </w:p>
    <w:p>
      <w:pPr>
        <w:spacing w:before="14" w:after="14"/>
        <w:ind w:left="360"/>
      </w:pPr>
      <w:r>
        <w:rPr>
          <w:rFonts w:ascii="Times New Roman" w:hAnsi="Times New Roman"/>
          <w:sz w:val="17"/>
        </w:rPr>
        <w:t xml:space="preserve">   8.1 Summary of Research Contributions</w:t>
      </w:r>
      <w:r>
        <w:rPr>
          <w:rFonts w:ascii="Times New Roman" w:hAnsi="Times New Roman"/>
          <w:color w:val="6B7280"/>
          <w:sz w:val="17"/>
        </w:rPr>
        <w:t xml:space="preserve"> .............................................. 18</w:t>
      </w:r>
    </w:p>
    <w:p>
      <w:pPr>
        <w:spacing w:before="14" w:after="14"/>
        <w:ind w:left="360"/>
      </w:pPr>
      <w:r>
        <w:rPr>
          <w:rFonts w:ascii="Times New Roman" w:hAnsi="Times New Roman"/>
          <w:sz w:val="17"/>
        </w:rPr>
        <w:t xml:space="preserve">   8.2 Industrial Applicability &amp; Deployment Guidelines</w:t>
      </w:r>
      <w:r>
        <w:rPr>
          <w:rFonts w:ascii="Times New Roman" w:hAnsi="Times New Roman"/>
          <w:color w:val="6B7280"/>
          <w:sz w:val="17"/>
        </w:rPr>
        <w:t xml:space="preserve"> ............................... 18</w:t>
      </w:r>
    </w:p>
    <w:p>
      <w:pPr>
        <w:spacing w:before="14" w:after="14"/>
        <w:ind w:left="360"/>
      </w:pPr>
      <w:r>
        <w:rPr>
          <w:rFonts w:ascii="Times New Roman" w:hAnsi="Times New Roman"/>
          <w:sz w:val="17"/>
        </w:rPr>
        <w:t xml:space="preserve">   8.3 Limitations &amp; Future Research Roadmap</w:t>
      </w:r>
      <w:r>
        <w:rPr>
          <w:rFonts w:ascii="Times New Roman" w:hAnsi="Times New Roman"/>
          <w:color w:val="6B7280"/>
          <w:sz w:val="17"/>
        </w:rPr>
        <w:t xml:space="preserve"> .......................................... 18</w:t>
      </w:r>
    </w:p>
    <w:p>
      <w:pPr>
        <w:spacing w:before="14" w:after="14"/>
        <w:ind w:left="360"/>
      </w:pPr>
      <w:r>
        <w:rPr>
          <w:rFonts w:ascii="Times New Roman" w:hAnsi="Times New Roman"/>
          <w:b/>
          <w:sz w:val="17"/>
        </w:rPr>
        <w:t>9. REFERENCES</w:t>
      </w:r>
      <w:r>
        <w:rPr>
          <w:rFonts w:ascii="Times New Roman" w:hAnsi="Times New Roman"/>
          <w:color w:val="6B7280"/>
          <w:sz w:val="17"/>
        </w:rPr>
        <w:t xml:space="preserve"> ......................................................................... 19</w:t>
      </w:r>
    </w:p>
    <w:p>
      <w:pPr>
        <w:pStyle w:val="Heading1"/>
        <w:pageBreakBefore/>
        <w:spacing w:before="160" w:after="60" w:line="269" w:lineRule="auto"/>
        <w:jc w:val="left"/>
      </w:pPr>
      <w:r>
        <w:rPr>
          <w:rFonts w:ascii="Times New Roman" w:hAnsi="Times New Roman"/>
          <w:b/>
          <w:i w:val="0"/>
          <w:color w:val="0F172A"/>
          <w:sz w:val="25"/>
        </w:rPr>
        <w:t>LIST OF FIGURES</w:t>
      </w:r>
    </w:p>
    <w:p>
      <w:pPr>
        <w:spacing w:before="24" w:after="24"/>
        <w:ind w:left="360"/>
      </w:pPr>
      <w:r>
        <w:rPr>
          <w:rFonts w:ascii="Times New Roman" w:hAnsi="Times New Roman"/>
          <w:sz w:val="17"/>
        </w:rPr>
        <w:t>Figure 1: NexCommerce Distributed Microservices Architecture &amp; Container Topology</w:t>
      </w:r>
      <w:r>
        <w:rPr>
          <w:rFonts w:ascii="Times New Roman" w:hAnsi="Times New Roman"/>
          <w:color w:val="6B7280"/>
          <w:sz w:val="17"/>
        </w:rPr>
        <w:t xml:space="preserve"> ...... 9</w:t>
      </w:r>
    </w:p>
    <w:p>
      <w:pPr>
        <w:spacing w:before="24" w:after="24"/>
        <w:ind w:left="360"/>
      </w:pPr>
      <w:r>
        <w:rPr>
          <w:rFonts w:ascii="Times New Roman" w:hAnsi="Times New Roman"/>
          <w:sz w:val="17"/>
        </w:rPr>
        <w:t>Figure 2: Two-Phase Commit (2PC) Transaction Flow &amp; Redis Mutex Locking Protocol</w:t>
      </w:r>
      <w:r>
        <w:rPr>
          <w:rFonts w:ascii="Times New Roman" w:hAnsi="Times New Roman"/>
          <w:color w:val="6B7280"/>
          <w:sz w:val="17"/>
        </w:rPr>
        <w:t xml:space="preserve"> ...... 10</w:t>
      </w:r>
    </w:p>
    <w:p>
      <w:pPr>
        <w:spacing w:before="24" w:after="24"/>
        <w:ind w:left="360"/>
      </w:pPr>
      <w:r>
        <w:rPr>
          <w:rFonts w:ascii="Times New Roman" w:hAnsi="Times New Roman"/>
          <w:sz w:val="17"/>
        </w:rPr>
        <w:t>Figure 3: Storefront Catalog &amp; Hardware Omnisearch Interface with Faceted Filters</w:t>
      </w:r>
      <w:r>
        <w:rPr>
          <w:rFonts w:ascii="Times New Roman" w:hAnsi="Times New Roman"/>
          <w:color w:val="6B7280"/>
          <w:sz w:val="17"/>
        </w:rPr>
        <w:t xml:space="preserve"> ..... 13</w:t>
      </w:r>
    </w:p>
    <w:p>
      <w:pPr>
        <w:spacing w:before="24" w:after="24"/>
        <w:ind w:left="360"/>
      </w:pPr>
      <w:r>
        <w:rPr>
          <w:rFonts w:ascii="Times New Roman" w:hAnsi="Times New Roman"/>
          <w:sz w:val="17"/>
        </w:rPr>
        <w:t>Figure 4: Polyglot Database Command Center &amp; Live Real-Time Multi-Tier Inspector</w:t>
      </w:r>
      <w:r>
        <w:rPr>
          <w:rFonts w:ascii="Times New Roman" w:hAnsi="Times New Roman"/>
          <w:color w:val="6B7280"/>
          <w:sz w:val="17"/>
        </w:rPr>
        <w:t xml:space="preserve"> ...... 13</w:t>
      </w:r>
    </w:p>
    <w:p>
      <w:pPr>
        <w:spacing w:before="24" w:after="24"/>
        <w:ind w:left="360"/>
      </w:pPr>
      <w:r>
        <w:rPr>
          <w:rFonts w:ascii="Times New Roman" w:hAnsi="Times New Roman"/>
          <w:sz w:val="17"/>
        </w:rPr>
        <w:t>Figure 5: Simulated Indian Payment Gateway: UPI QR, Cards, NetBanking, Razorpay</w:t>
      </w:r>
      <w:r>
        <w:rPr>
          <w:rFonts w:ascii="Times New Roman" w:hAnsi="Times New Roman"/>
          <w:color w:val="6B7280"/>
          <w:sz w:val="17"/>
        </w:rPr>
        <w:t xml:space="preserve"> ....... 14</w:t>
      </w:r>
    </w:p>
    <w:p>
      <w:pPr>
        <w:spacing w:before="24" w:after="24"/>
        <w:ind w:left="360"/>
      </w:pPr>
      <w:r>
        <w:rPr>
          <w:rFonts w:ascii="Times New Roman" w:hAnsi="Times New Roman"/>
          <w:sz w:val="17"/>
        </w:rPr>
        <w:t>Figure 6: Polyglot Persistence Layer: Latency Benchmark across CRUD &amp; Mutex Operations</w:t>
      </w:r>
      <w:r>
        <w:rPr>
          <w:rFonts w:ascii="Times New Roman" w:hAnsi="Times New Roman"/>
          <w:color w:val="6B7280"/>
          <w:sz w:val="17"/>
        </w:rPr>
        <w:t xml:space="preserve"> .... 15</w:t>
      </w:r>
    </w:p>
    <w:p>
      <w:pPr>
        <w:spacing w:before="24" w:after="24"/>
        <w:ind w:left="360"/>
      </w:pPr>
      <w:r>
        <w:rPr>
          <w:rFonts w:ascii="Times New Roman" w:hAnsi="Times New Roman"/>
          <w:sz w:val="17"/>
        </w:rPr>
        <w:t>Figure 7: Throughput &amp; Scalability Under High Concurrency Stress (10 to 2000 Users)</w:t>
      </w:r>
      <w:r>
        <w:rPr>
          <w:rFonts w:ascii="Times New Roman" w:hAnsi="Times New Roman"/>
          <w:color w:val="6B7280"/>
          <w:sz w:val="17"/>
        </w:rPr>
        <w:t xml:space="preserve"> .... 15</w:t>
      </w:r>
    </w:p>
    <w:p>
      <w:pPr>
        <w:spacing w:before="24" w:after="24"/>
        <w:ind w:left="360"/>
      </w:pPr>
      <w:r>
        <w:rPr>
          <w:rFonts w:ascii="Times New Roman" w:hAnsi="Times New Roman"/>
          <w:sz w:val="17"/>
        </w:rPr>
        <w:t>Figure 8: Cache-Aside Efficiency: Hit Ratio Warmup vs Storefront Latency Reduction</w:t>
      </w:r>
      <w:r>
        <w:rPr>
          <w:rFonts w:ascii="Times New Roman" w:hAnsi="Times New Roman"/>
          <w:color w:val="6B7280"/>
          <w:sz w:val="17"/>
        </w:rPr>
        <w:t xml:space="preserve"> .... 16</w:t>
      </w:r>
    </w:p>
    <w:p>
      <w:pPr>
        <w:spacing w:before="24" w:after="24"/>
        <w:ind w:left="360"/>
      </w:pPr>
      <w:r>
        <w:rPr>
          <w:rFonts w:ascii="Times New Roman" w:hAnsi="Times New Roman"/>
          <w:sz w:val="17"/>
        </w:rPr>
        <w:t>Figure 9: Automated Verification Test Suite (TC01–TC15) Execution Results</w:t>
      </w:r>
      <w:r>
        <w:rPr>
          <w:rFonts w:ascii="Times New Roman" w:hAnsi="Times New Roman"/>
          <w:color w:val="6B7280"/>
          <w:sz w:val="17"/>
        </w:rPr>
        <w:t xml:space="preserve"> ............. 17</w:t>
      </w:r>
    </w:p>
    <w:p>
      <w:pPr>
        <w:pStyle w:val="Heading1"/>
        <w:spacing w:before="160" w:after="60" w:line="269" w:lineRule="auto"/>
        <w:jc w:val="left"/>
      </w:pPr>
      <w:r>
        <w:rPr>
          <w:rFonts w:ascii="Times New Roman" w:hAnsi="Times New Roman"/>
          <w:b/>
          <w:i w:val="0"/>
          <w:color w:val="0F172A"/>
          <w:sz w:val="25"/>
        </w:rPr>
        <w:t>LIST OF TABLES</w:t>
      </w:r>
    </w:p>
    <w:p>
      <w:pPr>
        <w:spacing w:before="24" w:after="24"/>
        <w:ind w:left="360"/>
      </w:pPr>
      <w:r>
        <w:rPr>
          <w:rFonts w:ascii="Times New Roman" w:hAnsi="Times New Roman"/>
          <w:sz w:val="17"/>
        </w:rPr>
        <w:t>Table 1: Comparative Evaluation Matrix of Distributed Database Paradigms</w:t>
      </w:r>
      <w:r>
        <w:rPr>
          <w:rFonts w:ascii="Times New Roman" w:hAnsi="Times New Roman"/>
          <w:color w:val="6B7280"/>
          <w:sz w:val="17"/>
        </w:rPr>
        <w:t xml:space="preserve"> ............... 8</w:t>
      </w:r>
    </w:p>
    <w:p>
      <w:pPr>
        <w:spacing w:before="24" w:after="24"/>
        <w:ind w:left="360"/>
      </w:pPr>
      <w:r>
        <w:rPr>
          <w:rFonts w:ascii="Times New Roman" w:hAnsi="Times New Roman"/>
          <w:sz w:val="17"/>
        </w:rPr>
        <w:t>Table 2: PostgreSQL Relational Core: Table Specifications and Constraints</w:t>
      </w:r>
      <w:r>
        <w:rPr>
          <w:rFonts w:ascii="Times New Roman" w:hAnsi="Times New Roman"/>
          <w:color w:val="6B7280"/>
          <w:sz w:val="17"/>
        </w:rPr>
        <w:t xml:space="preserve"> ............. 11</w:t>
      </w:r>
    </w:p>
    <w:p>
      <w:pPr>
        <w:spacing w:before="24" w:after="24"/>
        <w:ind w:left="360"/>
      </w:pPr>
      <w:r>
        <w:rPr>
          <w:rFonts w:ascii="Times New Roman" w:hAnsi="Times New Roman"/>
          <w:sz w:val="17"/>
        </w:rPr>
        <w:t>Table 3: Redis Key Patterns, TTL Expirations &amp; Distributed Mutex Conventions</w:t>
      </w:r>
      <w:r>
        <w:rPr>
          <w:rFonts w:ascii="Times New Roman" w:hAnsi="Times New Roman"/>
          <w:color w:val="6B7280"/>
          <w:sz w:val="17"/>
        </w:rPr>
        <w:t xml:space="preserve"> .......... 12</w:t>
      </w:r>
    </w:p>
    <w:p>
      <w:pPr>
        <w:spacing w:before="24" w:after="24"/>
        <w:ind w:left="360"/>
      </w:pPr>
      <w:r>
        <w:rPr>
          <w:rFonts w:ascii="Times New Roman" w:hAnsi="Times New Roman"/>
          <w:sz w:val="17"/>
        </w:rPr>
        <w:t>Table 4: Experimental Hardware and Software Testbed Benchmark Specifications</w:t>
      </w:r>
      <w:r>
        <w:rPr>
          <w:rFonts w:ascii="Times New Roman" w:hAnsi="Times New Roman"/>
          <w:color w:val="6B7280"/>
          <w:sz w:val="17"/>
        </w:rPr>
        <w:t xml:space="preserve"> .......... 15</w:t>
      </w:r>
    </w:p>
    <w:p>
      <w:pPr>
        <w:spacing w:before="24" w:after="24"/>
        <w:ind w:left="360"/>
      </w:pPr>
      <w:r>
        <w:rPr>
          <w:rFonts w:ascii="Times New Roman" w:hAnsi="Times New Roman"/>
          <w:sz w:val="17"/>
        </w:rPr>
        <w:t>Table 5: Comprehensive Automated Verification Test Suite Matrix (TC01–TC15)</w:t>
      </w:r>
      <w:r>
        <w:rPr>
          <w:rFonts w:ascii="Times New Roman" w:hAnsi="Times New Roman"/>
          <w:color w:val="6B7280"/>
          <w:sz w:val="17"/>
        </w:rPr>
        <w:t xml:space="preserve"> ........... 17</w:t>
      </w:r>
    </w:p>
    <w:p>
      <w:pPr>
        <w:pStyle w:val="Heading1"/>
        <w:pageBreakBefore/>
        <w:spacing w:before="160" w:after="60" w:line="269" w:lineRule="auto"/>
        <w:jc w:val="left"/>
      </w:pPr>
      <w:r>
        <w:rPr>
          <w:rFonts w:ascii="Times New Roman" w:hAnsi="Times New Roman"/>
          <w:b/>
          <w:i w:val="0"/>
          <w:color w:val="0F172A"/>
          <w:sz w:val="25"/>
        </w:rPr>
        <w:t>CHAPTER 1: INTRODUCTION &amp; PROBLEM FORMULATION</w:t>
      </w:r>
    </w:p>
    <w:p>
      <w:pPr>
        <w:pStyle w:val="Heading2"/>
        <w:spacing w:before="120" w:after="40" w:line="269" w:lineRule="auto"/>
        <w:jc w:val="left"/>
      </w:pPr>
      <w:r>
        <w:rPr>
          <w:rFonts w:ascii="Times New Roman" w:hAnsi="Times New Roman"/>
          <w:b/>
          <w:i w:val="0"/>
          <w:color w:val="1E293B"/>
          <w:sz w:val="22"/>
        </w:rPr>
        <w:t>1.1 Motivation &amp; Background of Distributed Digital Commerce</w:t>
      </w:r>
    </w:p>
    <w:p>
      <w:pPr>
        <w:pStyle w:val="BodyText"/>
        <w:spacing w:before="0" w:after="70" w:line="269" w:lineRule="auto"/>
        <w:jc w:val="both"/>
      </w:pPr>
      <w:r>
        <w:rPr>
          <w:rFonts w:ascii="Times New Roman" w:hAnsi="Times New Roman"/>
          <w:b w:val="0"/>
          <w:i w:val="0"/>
          <w:sz w:val="20"/>
        </w:rPr>
        <w:t>Over the past decade, the global digital commerce landscape has undergone exponential growth, transitioning from static catalog lookup websites into high-velocity distributed software ecosystems. Modern enterprise platforms process millions of concurrent checkout requests across geographically distributed multi-warehouse logistics networks. In this ultra-competitive environment, customer satisfaction is inextricably linked to platform responsiveness, continuous uptime, and absolute transactional consistency. A typical enterprise transaction involves verifying credentials, retrieving polymorphic hardware attributes, locking regional inventory units, computing taxes, authorizing payments, recording immutable ledgers, and triggering warehouse dispatch queues. Executing these operations reliably requires a sophisticated database architecture balancing relational ACID guarantees with horizontal scalability.</w:t>
      </w:r>
    </w:p>
    <w:p>
      <w:pPr>
        <w:pStyle w:val="Heading2"/>
        <w:spacing w:before="120" w:after="40" w:line="269" w:lineRule="auto"/>
        <w:jc w:val="left"/>
      </w:pPr>
      <w:r>
        <w:rPr>
          <w:rFonts w:ascii="Times New Roman" w:hAnsi="Times New Roman"/>
          <w:b/>
          <w:i w:val="0"/>
          <w:color w:val="1E293B"/>
          <w:sz w:val="22"/>
        </w:rPr>
        <w:t>1.2 Architectural Limitations: Monolithic RDBMS vs Polyglot Persistence</w:t>
      </w:r>
    </w:p>
    <w:p>
      <w:pPr>
        <w:pStyle w:val="BodyText"/>
        <w:spacing w:before="0" w:after="70" w:line="269" w:lineRule="auto"/>
        <w:jc w:val="both"/>
      </w:pPr>
      <w:r>
        <w:rPr>
          <w:rFonts w:ascii="Times New Roman" w:hAnsi="Times New Roman"/>
          <w:b w:val="0"/>
          <w:i w:val="0"/>
          <w:sz w:val="20"/>
        </w:rPr>
        <w:t>Historically, enterprise software architectures relied on a single, monolithic Relational Database Management System (RDBMS) such as Oracle, Microsoft SQL Server, or PostgreSQL to store all application data. While monolithic databases provide strong ACID guarantees, they exhibit severe bottlenecks when scaled horizontally: (1) Rigid schema definitions cause complex Entity-Attribute-Value (EAV) anti-patterns when storing diverse hardware attributes; (2) High-concurrency checkout bursts cause severe row-level lock contention on hot inventory rows, precipitating connection pool exhaustion; and (3) Relational disk I/O introduces high read latency during peak shopping events.</w:t>
      </w:r>
    </w:p>
    <w:p>
      <w:pPr>
        <w:pStyle w:val="Heading2"/>
        <w:spacing w:before="120" w:after="40" w:line="269" w:lineRule="auto"/>
        <w:jc w:val="left"/>
      </w:pPr>
      <w:r>
        <w:rPr>
          <w:rFonts w:ascii="Times New Roman" w:hAnsi="Times New Roman"/>
          <w:b/>
          <w:i w:val="0"/>
          <w:color w:val="1E293B"/>
          <w:sz w:val="22"/>
        </w:rPr>
        <w:t>1.3 Core Operational Challenges &amp; Multi-Warehouse Race Conditions</w:t>
      </w:r>
    </w:p>
    <w:p>
      <w:pPr>
        <w:pStyle w:val="BodyText"/>
        <w:spacing w:before="0" w:after="70" w:line="269" w:lineRule="auto"/>
        <w:jc w:val="both"/>
      </w:pPr>
      <w:r>
        <w:rPr>
          <w:rFonts w:ascii="Times New Roman" w:hAnsi="Times New Roman"/>
          <w:b w:val="0"/>
          <w:i w:val="0"/>
          <w:sz w:val="20"/>
        </w:rPr>
        <w:t>The primary engineering challenge in distributed digital commerce lies in orchestrating multiple heterogeneous database engines while preserving strict system invariants. Specifically, the following core operational challenges must be resolved:</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Inventory Overselling Phenomenon (Race Conditions): </w:t>
      </w:r>
      <w:r>
        <w:rPr>
          <w:rFonts w:ascii="Times New Roman" w:hAnsi="Times New Roman"/>
          <w:color w:val="334155"/>
          <w:sz w:val="19"/>
        </w:rPr>
        <w:t>When multiple users purchase the last remaining unit simultaneously, standard SELECT-then-UPDATE sequences cause double-allocation and catastrophic inventory overselling.</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Distributed Transaction Coordination Failures: </w:t>
      </w:r>
      <w:r>
        <w:rPr>
          <w:rFonts w:ascii="Times New Roman" w:hAnsi="Times New Roman"/>
          <w:color w:val="334155"/>
          <w:sz w:val="19"/>
        </w:rPr>
        <w:t>Coordinating inventory deductions and payment authorization across microservices requires distributed transaction protocols that recover gracefully from network partitions.</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Privilege Escalation &amp; RBAC Vulnerabilities: </w:t>
      </w:r>
      <w:r>
        <w:rPr>
          <w:rFonts w:ascii="Times New Roman" w:hAnsi="Times New Roman"/>
          <w:color w:val="334155"/>
          <w:sz w:val="19"/>
        </w:rPr>
        <w:t>Administrative and warehouse management endpoints require robust authorization protocols beyond standard role strings to prevent unauthorized stock tampering.</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Cross-Tier State Synchronization Deficits: </w:t>
      </w:r>
      <w:r>
        <w:rPr>
          <w:rFonts w:ascii="Times New Roman" w:hAnsi="Times New Roman"/>
          <w:color w:val="334155"/>
          <w:sz w:val="19"/>
        </w:rPr>
        <w:t>Verifying that data modifications synchronize across PostgreSQL, MongoDB, and Redis in real time requires specialized automated cross-tier telemetry.</w:t>
      </w:r>
    </w:p>
    <w:p>
      <w:pPr>
        <w:pStyle w:val="Heading2"/>
        <w:pageBreakBefore/>
        <w:spacing w:before="120" w:after="40" w:line="269" w:lineRule="auto"/>
        <w:jc w:val="left"/>
      </w:pPr>
      <w:r>
        <w:rPr>
          <w:rFonts w:ascii="Times New Roman" w:hAnsi="Times New Roman"/>
          <w:b/>
          <w:i w:val="0"/>
          <w:color w:val="1E293B"/>
          <w:sz w:val="22"/>
        </w:rPr>
        <w:t>1.4 Project Technical Objectives &amp; Engineering Goals</w:t>
      </w:r>
    </w:p>
    <w:p>
      <w:pPr>
        <w:pStyle w:val="BodyText"/>
        <w:spacing w:before="0" w:after="70" w:line="269" w:lineRule="auto"/>
        <w:jc w:val="both"/>
      </w:pPr>
      <w:r>
        <w:rPr>
          <w:rFonts w:ascii="Times New Roman" w:hAnsi="Times New Roman"/>
          <w:b w:val="0"/>
          <w:i w:val="0"/>
          <w:sz w:val="20"/>
        </w:rPr>
        <w:t>To decisively overcome the architectural limitations of monolithic commerce systems, the NexCommerce platform establishes five foundational technical objectives:</w:t>
      </w:r>
    </w:p>
    <w:p>
      <w:pPr>
        <w:pStyle w:val="BodyText"/>
        <w:spacing w:before="20" w:after="40" w:line="259" w:lineRule="auto"/>
        <w:ind w:left="504"/>
        <w:jc w:val="both"/>
      </w:pPr>
      <w:r>
        <w:rPr>
          <w:rFonts w:ascii="Times New Roman" w:hAnsi="Times New Roman"/>
          <w:b/>
          <w:color w:val="10B981"/>
          <w:sz w:val="19"/>
        </w:rPr>
        <w:t xml:space="preserve">1.  </w:t>
      </w:r>
      <w:r>
        <w:rPr>
          <w:rFonts w:ascii="Times New Roman" w:hAnsi="Times New Roman"/>
          <w:b/>
          <w:color w:val="1E293B"/>
          <w:sz w:val="19"/>
        </w:rPr>
        <w:t xml:space="preserve">Polyglot Persistence Architecture: </w:t>
      </w:r>
      <w:r>
        <w:rPr>
          <w:rFonts w:ascii="Times New Roman" w:hAnsi="Times New Roman"/>
          <w:color w:val="334155"/>
          <w:sz w:val="19"/>
        </w:rPr>
        <w:t>Construct a resilient polyglot data tier coupling PostgreSQL 16 (financial ledger and ACID transactional state), MongoDB 7.0 (schema-free polymorphic BSON document catalog), and Redis 7.2 (in-memory cache-aside tier and distributed lock mutexes).</w:t>
      </w:r>
    </w:p>
    <w:p>
      <w:pPr>
        <w:pStyle w:val="BodyText"/>
        <w:spacing w:before="20" w:after="40" w:line="259" w:lineRule="auto"/>
        <w:ind w:left="504"/>
        <w:jc w:val="both"/>
      </w:pPr>
      <w:r>
        <w:rPr>
          <w:rFonts w:ascii="Times New Roman" w:hAnsi="Times New Roman"/>
          <w:b/>
          <w:color w:val="10B981"/>
          <w:sz w:val="19"/>
        </w:rPr>
        <w:t xml:space="preserve">2.  </w:t>
      </w:r>
      <w:r>
        <w:rPr>
          <w:rFonts w:ascii="Times New Roman" w:hAnsi="Times New Roman"/>
          <w:b/>
          <w:color w:val="1E293B"/>
          <w:sz w:val="19"/>
        </w:rPr>
        <w:t xml:space="preserve">Deterministic Distributed Concurrency Control: </w:t>
      </w:r>
      <w:r>
        <w:rPr>
          <w:rFonts w:ascii="Times New Roman" w:hAnsi="Times New Roman"/>
          <w:color w:val="334155"/>
          <w:sz w:val="19"/>
        </w:rPr>
        <w:t>Design and validate a Two-Phase Commit (2PC) distributed checkout coordinator combining pessimistic row-level locking (SELECT ... FOR UPDATE) and Redis reservation mutexes to completely eliminate double-decrement race conditions.</w:t>
      </w:r>
    </w:p>
    <w:p>
      <w:pPr>
        <w:pStyle w:val="BodyText"/>
        <w:spacing w:before="20" w:after="40" w:line="259" w:lineRule="auto"/>
        <w:ind w:left="504"/>
        <w:jc w:val="both"/>
      </w:pPr>
      <w:r>
        <w:rPr>
          <w:rFonts w:ascii="Times New Roman" w:hAnsi="Times New Roman"/>
          <w:b/>
          <w:color w:val="10B981"/>
          <w:sz w:val="19"/>
        </w:rPr>
        <w:t xml:space="preserve">3.  </w:t>
      </w:r>
      <w:r>
        <w:rPr>
          <w:rFonts w:ascii="Times New Roman" w:hAnsi="Times New Roman"/>
          <w:b/>
          <w:color w:val="1E293B"/>
          <w:sz w:val="19"/>
        </w:rPr>
        <w:t xml:space="preserve">AI Semantic Discovery Engine with pgvector: </w:t>
      </w:r>
      <w:r>
        <w:rPr>
          <w:rFonts w:ascii="Times New Roman" w:hAnsi="Times New Roman"/>
          <w:color w:val="334155"/>
          <w:sz w:val="19"/>
        </w:rPr>
        <w:t>Integrate pgvector into PostgreSQL to store 384-dimensional dense vector embeddings and execute sub-15ms cosine similarity semantic search for intelligent hardware discovery and contextual recommendations.</w:t>
      </w:r>
    </w:p>
    <w:p>
      <w:pPr>
        <w:pStyle w:val="BodyText"/>
        <w:spacing w:before="20" w:after="40" w:line="259" w:lineRule="auto"/>
        <w:ind w:left="504"/>
        <w:jc w:val="both"/>
      </w:pPr>
      <w:r>
        <w:rPr>
          <w:rFonts w:ascii="Times New Roman" w:hAnsi="Times New Roman"/>
          <w:b/>
          <w:color w:val="10B981"/>
          <w:sz w:val="19"/>
        </w:rPr>
        <w:t xml:space="preserve">4.  </w:t>
      </w:r>
      <w:r>
        <w:rPr>
          <w:rFonts w:ascii="Times New Roman" w:hAnsi="Times New Roman"/>
          <w:b/>
          <w:color w:val="1E293B"/>
          <w:sz w:val="19"/>
        </w:rPr>
        <w:t xml:space="preserve">Multi-Tier Security &amp; PIN Authorization: </w:t>
      </w:r>
      <w:r>
        <w:rPr>
          <w:rFonts w:ascii="Times New Roman" w:hAnsi="Times New Roman"/>
          <w:color w:val="334155"/>
          <w:sz w:val="19"/>
        </w:rPr>
        <w:t>Implement a four-tier Role-Based Access Control model (Customer, Seller, Warehouse Manager, Super Admin) bolstered by the Master Admin Security PIN Authorization Protocol (PIN: 7788) for restricted operations.</w:t>
      </w:r>
    </w:p>
    <w:p>
      <w:pPr>
        <w:pStyle w:val="BodyText"/>
        <w:spacing w:before="20" w:after="40" w:line="259" w:lineRule="auto"/>
        <w:ind w:left="504"/>
        <w:jc w:val="both"/>
      </w:pPr>
      <w:r>
        <w:rPr>
          <w:rFonts w:ascii="Times New Roman" w:hAnsi="Times New Roman"/>
          <w:b/>
          <w:color w:val="10B981"/>
          <w:sz w:val="19"/>
        </w:rPr>
        <w:t xml:space="preserve">5.  </w:t>
      </w:r>
      <w:r>
        <w:rPr>
          <w:rFonts w:ascii="Times New Roman" w:hAnsi="Times New Roman"/>
          <w:b/>
          <w:color w:val="1E293B"/>
          <w:sz w:val="19"/>
        </w:rPr>
        <w:t xml:space="preserve">Automated Invariant Audit &amp; Live Telemetry: </w:t>
      </w:r>
      <w:r>
        <w:rPr>
          <w:rFonts w:ascii="Times New Roman" w:hAnsi="Times New Roman"/>
          <w:color w:val="334155"/>
          <w:sz w:val="19"/>
        </w:rPr>
        <w:t>Develop an automated verification harness (TC01–TC15) and a real-time Polyglot Database Command Center &amp; Live Inspector to continuously audit cross-tier transactional integrity across all three engines.</w:t>
      </w:r>
    </w:p>
    <w:p>
      <w:pPr>
        <w:pStyle w:val="Heading2"/>
        <w:spacing w:before="120" w:after="40" w:line="269" w:lineRule="auto"/>
        <w:jc w:val="left"/>
      </w:pPr>
      <w:r>
        <w:rPr>
          <w:rFonts w:ascii="Times New Roman" w:hAnsi="Times New Roman"/>
          <w:b/>
          <w:i w:val="0"/>
          <w:color w:val="1E293B"/>
          <w:sz w:val="22"/>
        </w:rPr>
        <w:t>1.5 Scope, Boundaries, and Platform Deliverables</w:t>
      </w:r>
    </w:p>
    <w:p>
      <w:pPr>
        <w:pStyle w:val="BodyText"/>
        <w:spacing w:before="0" w:after="70" w:line="269" w:lineRule="auto"/>
        <w:jc w:val="both"/>
      </w:pPr>
      <w:r>
        <w:rPr>
          <w:rFonts w:ascii="Times New Roman" w:hAnsi="Times New Roman"/>
          <w:b w:val="0"/>
          <w:i w:val="0"/>
          <w:sz w:val="20"/>
        </w:rPr>
        <w:t>The scope of this project encompasses the complete end-to-end design, implementation, containerized deployment, and empirical verification of NexCommerce. Deliverables include:</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Backend Microservices Suite: </w:t>
      </w:r>
      <w:r>
        <w:rPr>
          <w:rFonts w:ascii="Times New Roman" w:hAnsi="Times New Roman"/>
          <w:color w:val="334155"/>
          <w:sz w:val="19"/>
        </w:rPr>
        <w:t>A modular FastAPI backend providing secure RESTful API endpoints for catalog search, multi-warehouse cart management, 2PC checkout orchestration, and admin operations.</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Polyglot Database Schemas: </w:t>
      </w:r>
      <w:r>
        <w:rPr>
          <w:rFonts w:ascii="Times New Roman" w:hAnsi="Times New Roman"/>
          <w:color w:val="334155"/>
          <w:sz w:val="19"/>
        </w:rPr>
        <w:t>Production-grade DDL scripts, BSON collection indexes, Redis key conventions, and pgvector extension scripts enforcing third normal form (3NF) relational purity.</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Storefront &amp; Inspector UI: </w:t>
      </w:r>
      <w:r>
        <w:rPr>
          <w:rFonts w:ascii="Times New Roman" w:hAnsi="Times New Roman"/>
          <w:color w:val="334155"/>
          <w:sz w:val="19"/>
        </w:rPr>
        <w:t>A responsive single-page application built with the Amazon Forest Design System, featuring real-time inventory badges, payment simulations, and vector recommendations.</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Automated Verification Harness: </w:t>
      </w:r>
      <w:r>
        <w:rPr>
          <w:rFonts w:ascii="Times New Roman" w:hAnsi="Times New Roman"/>
          <w:color w:val="334155"/>
          <w:sz w:val="19"/>
        </w:rPr>
        <w:t>A comprehensive test suite of 15 automated test cases validating distributed transaction rollback, lock timeouts, semantic recall, and cache consistency.</w:t>
      </w:r>
    </w:p>
    <w:p>
      <w:pPr>
        <w:pStyle w:val="Heading2"/>
        <w:spacing w:before="120" w:after="40" w:line="269" w:lineRule="auto"/>
        <w:jc w:val="left"/>
      </w:pPr>
      <w:r>
        <w:rPr>
          <w:rFonts w:ascii="Times New Roman" w:hAnsi="Times New Roman"/>
          <w:b/>
          <w:i w:val="0"/>
          <w:color w:val="1E293B"/>
          <w:sz w:val="22"/>
        </w:rPr>
        <w:t>1.6 Theoretical Synthesis &amp; CAP / PACELC Trade-Off Analysis</w:t>
      </w:r>
    </w:p>
    <w:p>
      <w:pPr>
        <w:pStyle w:val="BodyText"/>
        <w:spacing w:before="0" w:after="70" w:line="269" w:lineRule="auto"/>
        <w:jc w:val="both"/>
      </w:pPr>
      <w:r>
        <w:rPr>
          <w:rFonts w:ascii="Times New Roman" w:hAnsi="Times New Roman"/>
          <w:b w:val="0"/>
          <w:i w:val="0"/>
          <w:sz w:val="20"/>
        </w:rPr>
        <w:t>The NexCommerce architecture systematically resolves classical distributed systems trade-offs articulated in the CAP and PACELC theorems. Under network partitions (P), the platform prioritizes strict Consistency (C) for inventory deduction and financial order creation in PostgreSQL, while optimizing for Availability (A) and sub-millisecond Latency (L) for product catalog browsing in MongoDB and cached storefront reads in Redis.</w:t>
      </w:r>
    </w:p>
    <w:p>
      <w:pPr>
        <w:pStyle w:val="Heading1"/>
        <w:pageBreakBefore/>
        <w:spacing w:before="160" w:after="60" w:line="269" w:lineRule="auto"/>
        <w:jc w:val="left"/>
      </w:pPr>
      <w:r>
        <w:rPr>
          <w:rFonts w:ascii="Times New Roman" w:hAnsi="Times New Roman"/>
          <w:b/>
          <w:i w:val="0"/>
          <w:color w:val="0F172A"/>
          <w:sz w:val="25"/>
        </w:rPr>
        <w:t>CHAPTER 2: LITERATURE REVIEW &amp; GAP ANALYSIS</w:t>
      </w:r>
    </w:p>
    <w:p>
      <w:pPr>
        <w:pStyle w:val="Heading2"/>
        <w:spacing w:before="120" w:after="40" w:line="269" w:lineRule="auto"/>
        <w:jc w:val="left"/>
      </w:pPr>
      <w:r>
        <w:rPr>
          <w:rFonts w:ascii="Times New Roman" w:hAnsi="Times New Roman"/>
          <w:b/>
          <w:i w:val="0"/>
          <w:color w:val="1E293B"/>
          <w:sz w:val="22"/>
        </w:rPr>
        <w:t>2.1 Survey of Distributed Concurrency Control &amp; ACID Transaction Models</w:t>
      </w:r>
    </w:p>
    <w:p>
      <w:pPr>
        <w:pStyle w:val="BodyText"/>
        <w:spacing w:before="0" w:after="70" w:line="269" w:lineRule="auto"/>
        <w:jc w:val="both"/>
      </w:pPr>
      <w:r>
        <w:rPr>
          <w:rFonts w:ascii="Times New Roman" w:hAnsi="Times New Roman"/>
          <w:b w:val="0"/>
          <w:i w:val="0"/>
          <w:sz w:val="20"/>
        </w:rPr>
        <w:t>Distributed transaction management has been a cornerstone of computer science research since Gray's seminal formulation of the Two-Phase Commit protocol [1] and Bernstein's formalization of serializability theory [2]. Brewer's CAP theorem [3] and Abadi's PACELC theorem [4] established fundamental theoretical boundaries governing consistency, availability, and latency under network partitions. In high-velocity e-commerce, strict serializability across distributed nodes is traditionally achieved via two-phase locking (2PL) or optimistic concurrency control (OCC). However, 2PL introduces severe blocking delays during network partitions, while naive OCC suffers from extreme transaction abort rates under high write contention. Garcia-Molina and Salem [5] introduced the Saga pattern as an alternative to blocking 2PC, decomposing distributed transactions into sequences of local transactions coordinated via compensating actions.</w:t>
      </w:r>
    </w:p>
    <w:p>
      <w:pPr>
        <w:pStyle w:val="Heading2"/>
        <w:spacing w:before="120" w:after="40" w:line="269" w:lineRule="auto"/>
        <w:jc w:val="left"/>
      </w:pPr>
      <w:r>
        <w:rPr>
          <w:rFonts w:ascii="Times New Roman" w:hAnsi="Times New Roman"/>
          <w:b/>
          <w:i w:val="0"/>
          <w:color w:val="1E293B"/>
          <w:sz w:val="22"/>
        </w:rPr>
        <w:t>2.2 Polyglot Persistence in Modern Enterprise E-Commerce</w:t>
      </w:r>
    </w:p>
    <w:p>
      <w:pPr>
        <w:pStyle w:val="BodyText"/>
        <w:spacing w:before="0" w:after="70" w:line="269" w:lineRule="auto"/>
        <w:jc w:val="both"/>
      </w:pPr>
      <w:r>
        <w:rPr>
          <w:rFonts w:ascii="Times New Roman" w:hAnsi="Times New Roman"/>
          <w:b w:val="0"/>
          <w:i w:val="0"/>
          <w:sz w:val="20"/>
        </w:rPr>
        <w:t>The concept of Polyglot Persistence was popularized by Sadalage and Fowler [6], advocating that modern enterprise architectures should pair distinct storage engines to specialized access patterns rather than forcing all data into a monolithic RDBMS. Modern empirical evaluations demonstrate that hybrid architectures combining relational databases, document stores, and in-memory caches achieve order-of-magnitude improvements in read and write throughput compared to monolithic baselines [7], [8].</w:t>
      </w:r>
    </w:p>
    <w:p>
      <w:pPr>
        <w:pStyle w:val="Heading2"/>
        <w:spacing w:before="120" w:after="40" w:line="269" w:lineRule="auto"/>
        <w:jc w:val="left"/>
      </w:pPr>
      <w:r>
        <w:rPr>
          <w:rFonts w:ascii="Times New Roman" w:hAnsi="Times New Roman"/>
          <w:b/>
          <w:i w:val="0"/>
          <w:color w:val="1E293B"/>
          <w:sz w:val="22"/>
        </w:rPr>
        <w:t>2.3 Distributed Mutex Locking &amp; Cache-Aside TTL Patterns</w:t>
      </w:r>
    </w:p>
    <w:p>
      <w:pPr>
        <w:pStyle w:val="BodyText"/>
        <w:spacing w:before="0" w:after="70" w:line="269" w:lineRule="auto"/>
        <w:jc w:val="both"/>
      </w:pPr>
      <w:r>
        <w:rPr>
          <w:rFonts w:ascii="Times New Roman" w:hAnsi="Times New Roman"/>
          <w:b w:val="0"/>
          <w:i w:val="0"/>
          <w:sz w:val="20"/>
        </w:rPr>
        <w:t>In high-concurrency inventory systems, race conditions during checkout represent a critical operational hazard. Sanfilippo [9] formulated the Redlock algorithm for distributed mutual exclusion across Redis instances using atomic SETNX operations with time-to-live (TTL) expiration fences. Kleppmann [10] extended this analysis by demonstrating that distributed locks require monotonic fencing tokens to prevent zombie processes from corrupting shared storage during long garbage collection pauses.</w:t>
      </w:r>
    </w:p>
    <w:p>
      <w:pPr>
        <w:pStyle w:val="Heading2"/>
        <w:spacing w:before="120" w:after="40" w:line="269" w:lineRule="auto"/>
        <w:jc w:val="left"/>
      </w:pPr>
      <w:r>
        <w:rPr>
          <w:rFonts w:ascii="Times New Roman" w:hAnsi="Times New Roman"/>
          <w:b/>
          <w:i w:val="0"/>
          <w:color w:val="1E293B"/>
          <w:sz w:val="22"/>
        </w:rPr>
        <w:t>2.4 Vector Search, Semantic Embedding Retrieval &amp; Recommendation Engines</w:t>
      </w:r>
    </w:p>
    <w:p>
      <w:pPr>
        <w:pStyle w:val="BodyText"/>
        <w:spacing w:before="0" w:after="70" w:line="269" w:lineRule="auto"/>
        <w:jc w:val="both"/>
      </w:pPr>
      <w:r>
        <w:rPr>
          <w:rFonts w:ascii="Times New Roman" w:hAnsi="Times New Roman"/>
          <w:b w:val="0"/>
          <w:i w:val="0"/>
          <w:sz w:val="20"/>
        </w:rPr>
        <w:t>Recent advances in natural language processing and dense retrieval models have revolutionized product discovery in digital commerce. Malkov and Yashunin [11] introduced the Hierarchical Navigable Small World (HNSW) graph algorithm, providing approximate nearest neighbor (ANN) search with logarithmic time complexity. Kane [12] introduced pgvector, integrating dense vector storage directly into PostgreSQL.</w:t>
      </w:r>
    </w:p>
    <w:p>
      <w:pPr>
        <w:pStyle w:val="Heading2"/>
        <w:pageBreakBefore/>
        <w:spacing w:before="120" w:after="40" w:line="269" w:lineRule="auto"/>
        <w:jc w:val="left"/>
      </w:pPr>
      <w:r>
        <w:rPr>
          <w:rFonts w:ascii="Times New Roman" w:hAnsi="Times New Roman"/>
          <w:b/>
          <w:i w:val="0"/>
          <w:color w:val="1E293B"/>
          <w:sz w:val="22"/>
        </w:rPr>
        <w:t>2.5 Literature Review Comparison Matrix</w:t>
      </w:r>
    </w:p>
    <w:p>
      <w:pPr>
        <w:pStyle w:val="BodyText"/>
        <w:spacing w:before="0" w:after="70" w:line="269" w:lineRule="auto"/>
        <w:jc w:val="both"/>
      </w:pPr>
      <w:r>
        <w:rPr>
          <w:rFonts w:ascii="Times New Roman" w:hAnsi="Times New Roman"/>
          <w:b w:val="0"/>
          <w:i w:val="0"/>
          <w:sz w:val="20"/>
        </w:rPr>
        <w:t>Table 1 synthesizes the core database paradigms reviewed in academic literature across five critical engineering criteria, contrasting monolithic solutions with the hybrid polyglot architecture implemented in NexCommerce.</w:t>
      </w:r>
    </w:p>
    <w:p>
      <w:pPr>
        <w:spacing w:before="80" w:after="20"/>
        <w:jc w:val="left"/>
      </w:pPr>
      <w:r>
        <w:rPr>
          <w:rFonts w:ascii="Times New Roman" w:hAnsi="Times New Roman"/>
          <w:b/>
          <w:color w:val="111827"/>
          <w:sz w:val="17"/>
        </w:rPr>
        <w:t>Table 1: Literature Review Comparison Matrix of Distributed Database Paradigms</w:t>
      </w:r>
    </w:p>
    <w:tbl>
      <w:tblPr>
        <w:tblW w:type="auto" w:w="0"/>
        <w:jc w:val="center"/>
        <w:tblLook w:firstColumn="1" w:firstRow="1" w:lastColumn="0" w:lastRow="0" w:noHBand="0" w:noVBand="1" w:val="04A0"/>
      </w:tblPr>
      <w:tblGrid>
        <w:gridCol w:w="2018"/>
        <w:gridCol w:w="2018"/>
        <w:gridCol w:w="2018"/>
        <w:gridCol w:w="2018"/>
        <w:gridCol w:w="2018"/>
      </w:tblGrid>
      <w:tr>
        <w:tc>
          <w:tcPr>
            <w:tcW w:type="dxa" w:w="1584"/>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Paradigm</w:t>
            </w:r>
          </w:p>
        </w:tc>
        <w:tc>
          <w:tcPr>
            <w:tcW w:type="dxa" w:w="1728"/>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Primary Engine</w:t>
            </w:r>
          </w:p>
        </w:tc>
        <w:tc>
          <w:tcPr>
            <w:tcW w:type="dxa" w:w="2160"/>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Strengths</w:t>
            </w:r>
          </w:p>
        </w:tc>
        <w:tc>
          <w:tcPr>
            <w:tcW w:type="dxa" w:w="2016"/>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Weaknesses</w:t>
            </w:r>
          </w:p>
        </w:tc>
        <w:tc>
          <w:tcPr>
            <w:tcW w:type="dxa" w:w="1872"/>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NexCommerce Adoption</w:t>
            </w:r>
          </w:p>
        </w:tc>
      </w:tr>
      <w:tr>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Monolithic RDBMS</w:t>
            </w:r>
          </w:p>
        </w:tc>
        <w:tc>
          <w:tcPr>
            <w:tcW w:type="dxa" w:w="172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PostgreSQL / Oracle</w:t>
            </w:r>
          </w:p>
        </w:tc>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Strict ACID, complex SQL joins</w:t>
            </w:r>
          </w:p>
        </w:tc>
        <w:tc>
          <w:tcPr>
            <w:tcW w:type="dxa" w:w="2016"/>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Schema rigidity, vertical scaling limits</w:t>
            </w:r>
          </w:p>
        </w:tc>
        <w:tc>
          <w:tcPr>
            <w:tcW w:type="dxa" w:w="187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Retained for ACID financial and order ledger</w:t>
            </w:r>
          </w:p>
        </w:tc>
      </w:tr>
      <w:tr>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Pure Document</w:t>
            </w:r>
          </w:p>
        </w:tc>
        <w:tc>
          <w:tcPr>
            <w:tcW w:type="dxa" w:w="172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MongoDB / Couchbase</w:t>
            </w:r>
          </w:p>
        </w:tc>
        <w:tc>
          <w:tcPr>
            <w:tcW w:type="dxa" w:w="216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Flexible BSON, horizontal scaling</w:t>
            </w:r>
          </w:p>
        </w:tc>
        <w:tc>
          <w:tcPr>
            <w:tcW w:type="dxa" w:w="2016"/>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Lack of cross-document distributed ACID</w:t>
            </w:r>
          </w:p>
        </w:tc>
        <w:tc>
          <w:tcPr>
            <w:tcW w:type="dxa" w:w="1872"/>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Adopted for polymorphic hardware catalog</w:t>
            </w:r>
          </w:p>
        </w:tc>
      </w:tr>
      <w:tr>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Pure Key-Value</w:t>
            </w:r>
          </w:p>
        </w:tc>
        <w:tc>
          <w:tcPr>
            <w:tcW w:type="dxa" w:w="172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Redis / Memcached</w:t>
            </w:r>
          </w:p>
        </w:tc>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Sub-millisecond latency, in-memory</w:t>
            </w:r>
          </w:p>
        </w:tc>
        <w:tc>
          <w:tcPr>
            <w:tcW w:type="dxa" w:w="2016"/>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Volatile memory, limited querying</w:t>
            </w:r>
          </w:p>
        </w:tc>
        <w:tc>
          <w:tcPr>
            <w:tcW w:type="dxa" w:w="187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Adopted for cache-aside and mutex lock tier</w:t>
            </w:r>
          </w:p>
        </w:tc>
      </w:tr>
      <w:tr>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Pure NewSQL</w:t>
            </w:r>
          </w:p>
        </w:tc>
        <w:tc>
          <w:tcPr>
            <w:tcW w:type="dxa" w:w="172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CockroachDB / Spanner</w:t>
            </w:r>
          </w:p>
        </w:tc>
        <w:tc>
          <w:tcPr>
            <w:tcW w:type="dxa" w:w="216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Distributed ACID, global consensus</w:t>
            </w:r>
          </w:p>
        </w:tc>
        <w:tc>
          <w:tcPr>
            <w:tcW w:type="dxa" w:w="2016"/>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Complex deployment, high write latency</w:t>
            </w:r>
          </w:p>
        </w:tc>
        <w:tc>
          <w:tcPr>
            <w:tcW w:type="dxa" w:w="1872"/>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Evaluated; polyglot chosen for cost-efficiency</w:t>
            </w:r>
          </w:p>
        </w:tc>
      </w:tr>
      <w:tr>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Polyglot Hybrid</w:t>
            </w:r>
          </w:p>
        </w:tc>
        <w:tc>
          <w:tcPr>
            <w:tcW w:type="dxa" w:w="172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PG + Mongo + Redis</w:t>
            </w:r>
          </w:p>
        </w:tc>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Best-of-breed storage optimization</w:t>
            </w:r>
          </w:p>
        </w:tc>
        <w:tc>
          <w:tcPr>
            <w:tcW w:type="dxa" w:w="2016"/>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Cross-tier synchronization complexity</w:t>
            </w:r>
          </w:p>
        </w:tc>
        <w:tc>
          <w:tcPr>
            <w:tcW w:type="dxa" w:w="187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Engineered in NexCommerce with 2PC coordinator</w:t>
            </w:r>
          </w:p>
        </w:tc>
      </w:tr>
    </w:tbl>
    <w:p>
      <w:pPr>
        <w:pStyle w:val="Heading2"/>
        <w:spacing w:before="120" w:after="40" w:line="269" w:lineRule="auto"/>
        <w:jc w:val="left"/>
      </w:pPr>
      <w:r>
        <w:rPr>
          <w:rFonts w:ascii="Times New Roman" w:hAnsi="Times New Roman"/>
          <w:b/>
          <w:i w:val="0"/>
          <w:color w:val="1E293B"/>
          <w:sz w:val="22"/>
        </w:rPr>
        <w:t>2.6 Critical Gap Analysis &amp; NexCommerce Research Novelty</w:t>
      </w:r>
    </w:p>
    <w:p>
      <w:pPr>
        <w:pStyle w:val="BodyText"/>
        <w:spacing w:before="0" w:after="70" w:line="269" w:lineRule="auto"/>
        <w:jc w:val="both"/>
      </w:pPr>
      <w:r>
        <w:rPr>
          <w:rFonts w:ascii="Times New Roman" w:hAnsi="Times New Roman"/>
          <w:b w:val="0"/>
          <w:i w:val="0"/>
          <w:sz w:val="20"/>
        </w:rPr>
        <w:t>Despite extensive literature on polyglot persistence and distributed transactions, existing implementations exhibit critical architectural gaps that NexCommerce specifically resolves:</w:t>
      </w:r>
    </w:p>
    <w:p>
      <w:pPr>
        <w:pStyle w:val="BodyText"/>
        <w:spacing w:before="20" w:after="40" w:line="259" w:lineRule="auto"/>
        <w:ind w:left="504"/>
        <w:jc w:val="both"/>
      </w:pPr>
      <w:r>
        <w:rPr>
          <w:rFonts w:ascii="Times New Roman" w:hAnsi="Times New Roman"/>
          <w:b/>
          <w:color w:val="10B981"/>
          <w:sz w:val="19"/>
        </w:rPr>
        <w:t xml:space="preserve">1.  </w:t>
      </w:r>
      <w:r>
        <w:rPr>
          <w:rFonts w:ascii="Times New Roman" w:hAnsi="Times New Roman"/>
          <w:b/>
          <w:color w:val="1E293B"/>
          <w:sz w:val="19"/>
        </w:rPr>
        <w:t xml:space="preserve">Gap 1: Absence of Synchronized Atomic Reservation: </w:t>
      </w:r>
      <w:r>
        <w:rPr>
          <w:rFonts w:ascii="Times New Roman" w:hAnsi="Times New Roman"/>
          <w:color w:val="334155"/>
          <w:sz w:val="19"/>
        </w:rPr>
        <w:t>Most commercial platforms rely on simple cache invalidation without cryptographic reservation tokens, permitting race conditions during flash-sales. NexCommerce couples Redis distributed mutex locks with atomic PostgreSQL pessimistic row locking.</w:t>
      </w:r>
    </w:p>
    <w:p>
      <w:pPr>
        <w:pStyle w:val="BodyText"/>
        <w:spacing w:before="20" w:after="40" w:line="259" w:lineRule="auto"/>
        <w:ind w:left="504"/>
        <w:jc w:val="both"/>
      </w:pPr>
      <w:r>
        <w:rPr>
          <w:rFonts w:ascii="Times New Roman" w:hAnsi="Times New Roman"/>
          <w:b/>
          <w:color w:val="10B981"/>
          <w:sz w:val="19"/>
        </w:rPr>
        <w:t xml:space="preserve">2.  </w:t>
      </w:r>
      <w:r>
        <w:rPr>
          <w:rFonts w:ascii="Times New Roman" w:hAnsi="Times New Roman"/>
          <w:b/>
          <w:color w:val="1E293B"/>
          <w:sz w:val="19"/>
        </w:rPr>
        <w:t xml:space="preserve">Gap 2: Decoupled AI Vector Pipelines: </w:t>
      </w:r>
      <w:r>
        <w:rPr>
          <w:rFonts w:ascii="Times New Roman" w:hAnsi="Times New Roman"/>
          <w:color w:val="334155"/>
          <w:sz w:val="19"/>
        </w:rPr>
        <w:t>Existing systems separate AI vector databases from operational relational stores, creating synchronization latency. NexCommerce embeds pgvector directly within PostgreSQL 16.</w:t>
      </w:r>
    </w:p>
    <w:p>
      <w:pPr>
        <w:pStyle w:val="BodyText"/>
        <w:spacing w:before="20" w:after="40" w:line="259" w:lineRule="auto"/>
        <w:ind w:left="504"/>
        <w:jc w:val="both"/>
      </w:pPr>
      <w:r>
        <w:rPr>
          <w:rFonts w:ascii="Times New Roman" w:hAnsi="Times New Roman"/>
          <w:b/>
          <w:color w:val="10B981"/>
          <w:sz w:val="19"/>
        </w:rPr>
        <w:t xml:space="preserve">3.  </w:t>
      </w:r>
      <w:r>
        <w:rPr>
          <w:rFonts w:ascii="Times New Roman" w:hAnsi="Times New Roman"/>
          <w:b/>
          <w:color w:val="1E293B"/>
          <w:sz w:val="19"/>
        </w:rPr>
        <w:t xml:space="preserve">Gap 3: Cross-Tier Telemetry and Verification Deficit: </w:t>
      </w:r>
      <w:r>
        <w:rPr>
          <w:rFonts w:ascii="Times New Roman" w:hAnsi="Times New Roman"/>
          <w:color w:val="334155"/>
          <w:sz w:val="19"/>
        </w:rPr>
        <w:t>Traditional architectures lack real-time cross-tier verification tooling. NexCommerce introduces the Polyglot Database Command Center &amp; Live Inspector with automated 3-way transactional integrity verification.</w:t>
      </w:r>
    </w:p>
    <w:p>
      <w:pPr>
        <w:pStyle w:val="Heading1"/>
        <w:pageBreakBefore/>
        <w:spacing w:before="160" w:after="60" w:line="269" w:lineRule="auto"/>
        <w:jc w:val="left"/>
      </w:pPr>
      <w:r>
        <w:rPr>
          <w:rFonts w:ascii="Times New Roman" w:hAnsi="Times New Roman"/>
          <w:b/>
          <w:i w:val="0"/>
          <w:color w:val="0F172A"/>
          <w:sz w:val="25"/>
        </w:rPr>
        <w:t>CHAPTER 3: SYSTEM ARCHITECTURE &amp; DISTRIBUTED ENGINEERING</w:t>
      </w:r>
    </w:p>
    <w:p>
      <w:pPr>
        <w:pStyle w:val="Heading2"/>
        <w:spacing w:before="120" w:after="40" w:line="269" w:lineRule="auto"/>
        <w:jc w:val="left"/>
      </w:pPr>
      <w:r>
        <w:rPr>
          <w:rFonts w:ascii="Times New Roman" w:hAnsi="Times New Roman"/>
          <w:b/>
          <w:i w:val="0"/>
          <w:color w:val="1E293B"/>
          <w:sz w:val="22"/>
        </w:rPr>
        <w:t>3.1 High-Level Distributed Architecture Topology &amp; Docker Orchestration</w:t>
      </w:r>
    </w:p>
    <w:p>
      <w:pPr>
        <w:pStyle w:val="BodyText"/>
        <w:spacing w:before="0" w:after="70" w:line="269" w:lineRule="auto"/>
        <w:jc w:val="both"/>
      </w:pPr>
      <w:r>
        <w:rPr>
          <w:rFonts w:ascii="Times New Roman" w:hAnsi="Times New Roman"/>
          <w:b w:val="0"/>
          <w:i w:val="0"/>
          <w:sz w:val="20"/>
        </w:rPr>
        <w:t>NexCommerce employs a decoupled, containerized microservices topology engineered to deliver high transactional throughput, zero overselling, and resilient fault isolation. The system decomposes functionality into four specialized tiers: (1) Client Presentation Tier (SPA with Amazon Forest UI); (2) API Gateway &amp; Security Tier (JWT claims validation, rate limiting, and route protection); (3) Application Microservices Tier (Catalog, Cart, Two-Phase Checkout, and Admin Services); and (4) Polyglot Persistence Tier (PostgreSQL 16, MongoDB 7.0, and Redis 7.2).</w:t>
      </w:r>
    </w:p>
    <w:p>
      <w:pPr>
        <w:spacing w:before="60" w:after="20"/>
        <w:jc w:val="center"/>
      </w:pPr>
      <w:r>
        <w:drawing>
          <wp:inline xmlns:a="http://schemas.openxmlformats.org/drawingml/2006/main" xmlns:pic="http://schemas.openxmlformats.org/drawingml/2006/picture">
            <wp:extent cx="4023360" cy="1656947"/>
            <wp:docPr id="1027" name="Picture 1027"/>
            <wp:cNvGraphicFramePr>
              <a:graphicFrameLocks noChangeAspect="1"/>
            </wp:cNvGraphicFramePr>
            <a:graphic>
              <a:graphicData uri="http://schemas.openxmlformats.org/drawingml/2006/picture">
                <pic:pic>
                  <pic:nvPicPr>
                    <pic:cNvPr id="0" name="fig14_docker_kafka_kong_ui.png"/>
                    <pic:cNvPicPr/>
                  </pic:nvPicPr>
                  <pic:blipFill>
                    <a:blip r:embed="rId16"/>
                    <a:stretch>
                      <a:fillRect/>
                    </a:stretch>
                  </pic:blipFill>
                  <pic:spPr>
                    <a:xfrm>
                      <a:off x="0" y="0"/>
                      <a:ext cx="4023360" cy="1656947"/>
                    </a:xfrm>
                    <a:prstGeom prst="rect"/>
                  </pic:spPr>
                </pic:pic>
              </a:graphicData>
            </a:graphic>
          </wp:inline>
        </w:drawing>
      </w:r>
    </w:p>
    <w:p>
      <w:pPr>
        <w:spacing w:before="20" w:after="80"/>
        <w:jc w:val="center"/>
      </w:pPr>
      <w:r>
        <w:rPr>
          <w:rFonts w:ascii="Times New Roman" w:hAnsi="Times New Roman"/>
          <w:b/>
          <w:i/>
          <w:color w:val="4B5563"/>
          <w:sz w:val="16"/>
        </w:rPr>
        <w:t>Figure 1: NexCommerce Distributed Microservices Architecture &amp; Container Topology</w:t>
      </w:r>
    </w:p>
    <w:p>
      <w:pPr>
        <w:pStyle w:val="Heading2"/>
        <w:spacing w:before="120" w:after="40" w:line="269" w:lineRule="auto"/>
        <w:jc w:val="left"/>
      </w:pPr>
      <w:r>
        <w:rPr>
          <w:rFonts w:ascii="Times New Roman" w:hAnsi="Times New Roman"/>
          <w:b/>
          <w:i w:val="0"/>
          <w:color w:val="1E293B"/>
          <w:sz w:val="22"/>
        </w:rPr>
        <w:t>3.2 Microservices Decomposition &amp; Inter-Service Communication</w:t>
      </w:r>
    </w:p>
    <w:p>
      <w:pPr>
        <w:pStyle w:val="BodyText"/>
        <w:spacing w:before="0" w:after="70" w:line="269" w:lineRule="auto"/>
        <w:jc w:val="both"/>
      </w:pPr>
      <w:r>
        <w:rPr>
          <w:rFonts w:ascii="Times New Roman" w:hAnsi="Times New Roman"/>
          <w:b w:val="0"/>
          <w:i w:val="0"/>
          <w:sz w:val="20"/>
        </w:rPr>
        <w:t>System functionality is segregated into distinct domain services communicating via high-performance REST APIs:</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Authentication &amp; RBAC Service: </w:t>
      </w:r>
      <w:r>
        <w:rPr>
          <w:rFonts w:ascii="Times New Roman" w:hAnsi="Times New Roman"/>
          <w:color w:val="334155"/>
          <w:sz w:val="19"/>
        </w:rPr>
        <w:t>Handles user registration, Bcrypt credential verification, and asymmetric JWT token issuance with role claims (Customer, Seller, Warehouse Manager, Super Admin).</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Catalog &amp; Vector Discovery Service: </w:t>
      </w:r>
      <w:r>
        <w:rPr>
          <w:rFonts w:ascii="Times New Roman" w:hAnsi="Times New Roman"/>
          <w:color w:val="334155"/>
          <w:sz w:val="19"/>
        </w:rPr>
        <w:t>Streams polymorphic product specifications from MongoDB with Redis cache-aside acceleration and executes dense vector queries via pgvector.</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Cart &amp; Stock Reservation Service: </w:t>
      </w:r>
      <w:r>
        <w:rPr>
          <w:rFonts w:ascii="Times New Roman" w:hAnsi="Times New Roman"/>
          <w:color w:val="334155"/>
          <w:sz w:val="19"/>
        </w:rPr>
        <w:t>Coordinates distributed multi-warehouse stock reservations using atomic Redis mutex locks with 10-minute TTLs.</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2PC Checkout Orchestration Service: </w:t>
      </w:r>
      <w:r>
        <w:rPr>
          <w:rFonts w:ascii="Times New Roman" w:hAnsi="Times New Roman"/>
          <w:color w:val="334155"/>
          <w:sz w:val="19"/>
        </w:rPr>
        <w:t>Executes the Two-Phase Commit protocol across PostgreSQL, MongoDB, and Redis to finalize orders or execute atomic compensating rollbacks.</w:t>
      </w:r>
    </w:p>
    <w:p>
      <w:pPr>
        <w:pStyle w:val="Heading2"/>
        <w:pageBreakBefore/>
        <w:spacing w:before="120" w:after="40" w:line="269" w:lineRule="auto"/>
        <w:jc w:val="left"/>
      </w:pPr>
      <w:r>
        <w:rPr>
          <w:rFonts w:ascii="Times New Roman" w:hAnsi="Times New Roman"/>
          <w:b/>
          <w:i w:val="0"/>
          <w:color w:val="1E293B"/>
          <w:sz w:val="22"/>
        </w:rPr>
        <w:t>3.3 Two-Phase Commit (2PC) Distributed Transaction Coordinator</w:t>
      </w:r>
    </w:p>
    <w:p>
      <w:pPr>
        <w:pStyle w:val="BodyText"/>
        <w:spacing w:before="0" w:after="70" w:line="269" w:lineRule="auto"/>
        <w:jc w:val="both"/>
      </w:pPr>
      <w:r>
        <w:rPr>
          <w:rFonts w:ascii="Times New Roman" w:hAnsi="Times New Roman"/>
          <w:b w:val="0"/>
          <w:i w:val="0"/>
          <w:sz w:val="20"/>
        </w:rPr>
        <w:t>To eliminate inventory overselling during concurrent checkout bursts, NexCommerce implements a strict Two-Phase Commit protocol across PostgreSQL and Redis. The protocol operates in two strictly defined phases:</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Phase 1: Prepare &amp; Lock: </w:t>
      </w:r>
      <w:r>
        <w:rPr>
          <w:rFonts w:ascii="Times New Roman" w:hAnsi="Times New Roman"/>
          <w:color w:val="334155"/>
          <w:sz w:val="19"/>
        </w:rPr>
        <w:t>The coordinator requests stock locks on all cart items across regional warehouses. Redis acquires an atomic mutex lock (SET lock:inventory:{id} token NX EX 600) and PostgreSQL acquires pessimistic row locks (SELECT ... FOR UPDATE). If any item fails validation, the coordinator immediately aborts and releases all preliminary locks.</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Phase 2: Commit or Rollback: </w:t>
      </w:r>
      <w:r>
        <w:rPr>
          <w:rFonts w:ascii="Times New Roman" w:hAnsi="Times New Roman"/>
          <w:color w:val="334155"/>
          <w:sz w:val="19"/>
        </w:rPr>
        <w:t>Once all locks are successfully acquired and payment is validated, the coordinator atomically decrements inventory in PostgreSQL, writes the order and order items, releases the Redis mutex, and invalidates storefront cache keys. If any step fails, an atomic compensating rollback restores all preliminary states.</w:t>
      </w:r>
    </w:p>
    <w:p>
      <w:pPr>
        <w:spacing w:before="60" w:after="20"/>
        <w:jc w:val="center"/>
      </w:pPr>
      <w:r>
        <w:drawing>
          <wp:inline xmlns:a="http://schemas.openxmlformats.org/drawingml/2006/main" xmlns:pic="http://schemas.openxmlformats.org/drawingml/2006/picture">
            <wp:extent cx="4023360" cy="2302431"/>
            <wp:docPr id="1028" name="Picture 1028"/>
            <wp:cNvGraphicFramePr>
              <a:graphicFrameLocks noChangeAspect="1"/>
            </wp:cNvGraphicFramePr>
            <a:graphic>
              <a:graphicData uri="http://schemas.openxmlformats.org/drawingml/2006/picture">
                <pic:pic>
                  <pic:nvPicPr>
                    <pic:cNvPr id="0" name="fig8_two_phase_commit_sim_ui.png"/>
                    <pic:cNvPicPr/>
                  </pic:nvPicPr>
                  <pic:blipFill>
                    <a:blip r:embed="rId17"/>
                    <a:stretch>
                      <a:fillRect/>
                    </a:stretch>
                  </pic:blipFill>
                  <pic:spPr>
                    <a:xfrm>
                      <a:off x="0" y="0"/>
                      <a:ext cx="4023360" cy="2302431"/>
                    </a:xfrm>
                    <a:prstGeom prst="rect"/>
                  </pic:spPr>
                </pic:pic>
              </a:graphicData>
            </a:graphic>
          </wp:inline>
        </w:drawing>
      </w:r>
    </w:p>
    <w:p>
      <w:pPr>
        <w:spacing w:before="20" w:after="80"/>
        <w:jc w:val="center"/>
      </w:pPr>
      <w:r>
        <w:rPr>
          <w:rFonts w:ascii="Times New Roman" w:hAnsi="Times New Roman"/>
          <w:b/>
          <w:i/>
          <w:color w:val="4B5563"/>
          <w:sz w:val="16"/>
        </w:rPr>
        <w:t>Figure 2: Two-Phase Commit (2PC) Transaction Flow &amp; Redis Mutex Locking Protocol</w:t>
      </w:r>
    </w:p>
    <w:p>
      <w:pPr>
        <w:pStyle w:val="Heading2"/>
        <w:spacing w:before="120" w:after="40" w:line="269" w:lineRule="auto"/>
        <w:jc w:val="left"/>
      </w:pPr>
      <w:r>
        <w:rPr>
          <w:rFonts w:ascii="Times New Roman" w:hAnsi="Times New Roman"/>
          <w:b/>
          <w:i w:val="0"/>
          <w:color w:val="1E293B"/>
          <w:sz w:val="22"/>
        </w:rPr>
        <w:t>3.4 Redis Mutex Locking Protocol &amp; Redlock Algorithm</w:t>
      </w:r>
    </w:p>
    <w:p>
      <w:pPr>
        <w:pStyle w:val="BodyText"/>
        <w:spacing w:before="0" w:after="70" w:line="269" w:lineRule="auto"/>
        <w:jc w:val="both"/>
      </w:pPr>
      <w:r>
        <w:rPr>
          <w:rFonts w:ascii="Times New Roman" w:hAnsi="Times New Roman"/>
          <w:b w:val="0"/>
          <w:i w:val="0"/>
          <w:sz w:val="20"/>
        </w:rPr>
        <w:t>Distributed mutual exclusion is enforced using an atomic Redis locking pattern. When a user initiates checkout, the engine executes SET lock:inventory:{sku} {uuid} NX PX 30000. This guarantees that only one transaction can reserve stock for a specific SKU at any given millisecond. The unique UUID token ensures that transactions cannot release locks acquired by other concurrent threads upon timeout.</w:t>
      </w:r>
    </w:p>
    <w:p>
      <w:pPr>
        <w:pStyle w:val="Heading2"/>
        <w:spacing w:before="120" w:after="40" w:line="269" w:lineRule="auto"/>
        <w:jc w:val="left"/>
      </w:pPr>
      <w:r>
        <w:rPr>
          <w:rFonts w:ascii="Times New Roman" w:hAnsi="Times New Roman"/>
          <w:b/>
          <w:i w:val="0"/>
          <w:color w:val="1E293B"/>
          <w:sz w:val="22"/>
        </w:rPr>
        <w:t>3.5 Master Admin Security PIN Authorization Protocol</w:t>
      </w:r>
    </w:p>
    <w:p>
      <w:pPr>
        <w:pStyle w:val="BodyText"/>
        <w:spacing w:before="0" w:after="70" w:line="269" w:lineRule="auto"/>
        <w:jc w:val="both"/>
      </w:pPr>
      <w:r>
        <w:rPr>
          <w:rFonts w:ascii="Times New Roman" w:hAnsi="Times New Roman"/>
          <w:b w:val="0"/>
          <w:i w:val="0"/>
          <w:sz w:val="20"/>
        </w:rPr>
        <w:t>To protect critical database management, manual stock overrides, and destructive operations from unauthorized execution, NexCommerce enforces a Master Admin Security PIN protocol (PIN: 7788). Administrative requests must pass dual authentication: a valid Super Admin JWT bearer token and an SHA-256 validated security PIN header.</w:t>
      </w:r>
    </w:p>
    <w:p>
      <w:pPr>
        <w:pStyle w:val="Heading1"/>
        <w:pageBreakBefore/>
        <w:spacing w:before="160" w:after="60" w:line="269" w:lineRule="auto"/>
        <w:jc w:val="left"/>
      </w:pPr>
      <w:r>
        <w:rPr>
          <w:rFonts w:ascii="Times New Roman" w:hAnsi="Times New Roman"/>
          <w:b/>
          <w:i w:val="0"/>
          <w:color w:val="0F172A"/>
          <w:sz w:val="25"/>
        </w:rPr>
        <w:t>CHAPTER 4: DETAILED DATABASE ENGINEERING &amp; SCHEMA DESIGN</w:t>
      </w:r>
    </w:p>
    <w:p>
      <w:pPr>
        <w:pStyle w:val="Heading2"/>
        <w:spacing w:before="120" w:after="40" w:line="269" w:lineRule="auto"/>
        <w:jc w:val="left"/>
      </w:pPr>
      <w:r>
        <w:rPr>
          <w:rFonts w:ascii="Times New Roman" w:hAnsi="Times New Roman"/>
          <w:b/>
          <w:i w:val="0"/>
          <w:color w:val="1E293B"/>
          <w:sz w:val="22"/>
        </w:rPr>
        <w:t>4.1 Relational Schema Engineering (PostgreSQL 16 Core)</w:t>
      </w:r>
    </w:p>
    <w:p>
      <w:pPr>
        <w:pStyle w:val="BodyText"/>
        <w:spacing w:before="0" w:after="70" w:line="269" w:lineRule="auto"/>
        <w:jc w:val="both"/>
      </w:pPr>
      <w:r>
        <w:rPr>
          <w:rFonts w:ascii="Times New Roman" w:hAnsi="Times New Roman"/>
          <w:b w:val="0"/>
          <w:i w:val="0"/>
          <w:sz w:val="20"/>
        </w:rPr>
        <w:t>PostgreSQL 16 serves as the primary system-of-record for financial ledger integrity, transactional cart checkout, and RBAC security. All relational tables are engineered strictly to Third Normal Form (3NF), eliminating transitive dependencies and update anomalies. Table 2 details the core relational tables, their data types, and primary constraints.</w:t>
      </w:r>
    </w:p>
    <w:p>
      <w:pPr>
        <w:spacing w:before="80" w:after="20"/>
        <w:jc w:val="left"/>
      </w:pPr>
      <w:r>
        <w:rPr>
          <w:rFonts w:ascii="Times New Roman" w:hAnsi="Times New Roman"/>
          <w:b/>
          <w:color w:val="111827"/>
          <w:sz w:val="17"/>
        </w:rPr>
        <w:t>Table 2: PostgreSQL Relational Core: Table Specifications and Constraints</w:t>
      </w:r>
    </w:p>
    <w:tbl>
      <w:tblPr>
        <w:tblW w:type="auto" w:w="0"/>
        <w:jc w:val="center"/>
        <w:tblLook w:firstColumn="1" w:firstRow="1" w:lastColumn="0" w:lastRow="0" w:noHBand="0" w:noVBand="1" w:val="04A0"/>
      </w:tblPr>
      <w:tblGrid>
        <w:gridCol w:w="2018"/>
        <w:gridCol w:w="2018"/>
        <w:gridCol w:w="2018"/>
        <w:gridCol w:w="2018"/>
        <w:gridCol w:w="2018"/>
      </w:tblGrid>
      <w:tr>
        <w:tc>
          <w:tcPr>
            <w:tcW w:type="dxa" w:w="1728"/>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Table Name</w:t>
            </w:r>
          </w:p>
        </w:tc>
        <w:tc>
          <w:tcPr>
            <w:tcW w:type="dxa" w:w="1584"/>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Primary Key</w:t>
            </w:r>
          </w:p>
        </w:tc>
        <w:tc>
          <w:tcPr>
            <w:tcW w:type="dxa" w:w="2016"/>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Foreign Keys</w:t>
            </w:r>
          </w:p>
        </w:tc>
        <w:tc>
          <w:tcPr>
            <w:tcW w:type="dxa" w:w="2160"/>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Key Constraints</w:t>
            </w:r>
          </w:p>
        </w:tc>
        <w:tc>
          <w:tcPr>
            <w:tcW w:type="dxa" w:w="1872"/>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Purpose</w:t>
            </w:r>
          </w:p>
        </w:tc>
      </w:tr>
      <w:tr>
        <w:tc>
          <w:tcPr>
            <w:tcW w:type="dxa" w:w="172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users</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id (UUID)</w:t>
            </w:r>
          </w:p>
        </w:tc>
        <w:tc>
          <w:tcPr>
            <w:tcW w:type="dxa" w:w="2016"/>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None</w:t>
            </w:r>
          </w:p>
        </w:tc>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email UNIQUE, role CHECK (role IN (...))</w:t>
            </w:r>
          </w:p>
        </w:tc>
        <w:tc>
          <w:tcPr>
            <w:tcW w:type="dxa" w:w="187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User accounts, password hashes, and RBAC roles</w:t>
            </w:r>
          </w:p>
        </w:tc>
      </w:tr>
      <w:tr>
        <w:tc>
          <w:tcPr>
            <w:tcW w:type="dxa" w:w="172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products</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id (VARCHAR)</w:t>
            </w:r>
          </w:p>
        </w:tc>
        <w:tc>
          <w:tcPr>
            <w:tcW w:type="dxa" w:w="2016"/>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None</w:t>
            </w:r>
          </w:p>
        </w:tc>
        <w:tc>
          <w:tcPr>
            <w:tcW w:type="dxa" w:w="216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price &gt;= 0, status CHECK (status IN (...))</w:t>
            </w:r>
          </w:p>
        </w:tc>
        <w:tc>
          <w:tcPr>
            <w:tcW w:type="dxa" w:w="1872"/>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Relational catalog core, pricing, and category keys</w:t>
            </w:r>
          </w:p>
        </w:tc>
      </w:tr>
      <w:tr>
        <w:tc>
          <w:tcPr>
            <w:tcW w:type="dxa" w:w="172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warehouses</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id (VARCHAR)</w:t>
            </w:r>
          </w:p>
        </w:tc>
        <w:tc>
          <w:tcPr>
            <w:tcW w:type="dxa" w:w="2016"/>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None</w:t>
            </w:r>
          </w:p>
        </w:tc>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code UNIQUE, active BOOLEAN</w:t>
            </w:r>
          </w:p>
        </w:tc>
        <w:tc>
          <w:tcPr>
            <w:tcW w:type="dxa" w:w="187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Physical regional fulfillment centers across India</w:t>
            </w:r>
          </w:p>
        </w:tc>
      </w:tr>
      <w:tr>
        <w:tc>
          <w:tcPr>
            <w:tcW w:type="dxa" w:w="172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inventory_items</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id (UUID)</w:t>
            </w:r>
          </w:p>
        </w:tc>
        <w:tc>
          <w:tcPr>
            <w:tcW w:type="dxa" w:w="2016"/>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product_id, warehouse_id</w:t>
            </w:r>
          </w:p>
        </w:tc>
        <w:tc>
          <w:tcPr>
            <w:tcW w:type="dxa" w:w="216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quantity &gt;= 0, UNIQUE(prod_id, wh_id)</w:t>
            </w:r>
          </w:p>
        </w:tc>
        <w:tc>
          <w:tcPr>
            <w:tcW w:type="dxa" w:w="1872"/>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Warehouse stock balances with non-negative check</w:t>
            </w:r>
          </w:p>
        </w:tc>
      </w:tr>
      <w:tr>
        <w:tc>
          <w:tcPr>
            <w:tcW w:type="dxa" w:w="172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orders</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id (UUID)</w:t>
            </w:r>
          </w:p>
        </w:tc>
        <w:tc>
          <w:tcPr>
            <w:tcW w:type="dxa" w:w="2016"/>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user_id</w:t>
            </w:r>
          </w:p>
        </w:tc>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status CHECK (status IN (...)), total &gt;= 0</w:t>
            </w:r>
          </w:p>
        </w:tc>
        <w:tc>
          <w:tcPr>
            <w:tcW w:type="dxa" w:w="187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Immutable financial orders and fulfillment status</w:t>
            </w:r>
          </w:p>
        </w:tc>
      </w:tr>
      <w:tr>
        <w:tc>
          <w:tcPr>
            <w:tcW w:type="dxa" w:w="172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order_items</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id (UUID)</w:t>
            </w:r>
          </w:p>
        </w:tc>
        <w:tc>
          <w:tcPr>
            <w:tcW w:type="dxa" w:w="2016"/>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order_id, product_id, warehouse_id</w:t>
            </w:r>
          </w:p>
        </w:tc>
        <w:tc>
          <w:tcPr>
            <w:tcW w:type="dxa" w:w="216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quantity &gt; 0, unit_price &gt;= 0</w:t>
            </w:r>
          </w:p>
        </w:tc>
        <w:tc>
          <w:tcPr>
            <w:tcW w:type="dxa" w:w="1872"/>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Individual line items with frozen purchase price</w:t>
            </w:r>
          </w:p>
        </w:tc>
      </w:tr>
      <w:tr>
        <w:tc>
          <w:tcPr>
            <w:tcW w:type="dxa" w:w="172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payments</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id (UUID)</w:t>
            </w:r>
          </w:p>
        </w:tc>
        <w:tc>
          <w:tcPr>
            <w:tcW w:type="dxa" w:w="2016"/>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order_id</w:t>
            </w:r>
          </w:p>
        </w:tc>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payment_status CHECK (...), amount &gt;= 0</w:t>
            </w:r>
          </w:p>
        </w:tc>
        <w:tc>
          <w:tcPr>
            <w:tcW w:type="dxa" w:w="187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Financial transaction ledger with gateway refs</w:t>
            </w:r>
          </w:p>
        </w:tc>
      </w:tr>
    </w:tbl>
    <w:p>
      <w:pPr>
        <w:pStyle w:val="Heading2"/>
        <w:spacing w:before="120" w:after="40" w:line="269" w:lineRule="auto"/>
        <w:jc w:val="left"/>
      </w:pPr>
      <w:r>
        <w:rPr>
          <w:rFonts w:ascii="Times New Roman" w:hAnsi="Times New Roman"/>
          <w:b/>
          <w:i w:val="0"/>
          <w:color w:val="1E293B"/>
          <w:sz w:val="22"/>
        </w:rPr>
        <w:t>4.2 Document Data Modeling (MongoDB 7.0 BSON Store)</w:t>
      </w:r>
    </w:p>
    <w:p>
      <w:pPr>
        <w:pStyle w:val="BodyText"/>
        <w:spacing w:before="0" w:after="70" w:line="269" w:lineRule="auto"/>
        <w:jc w:val="both"/>
      </w:pPr>
      <w:r>
        <w:rPr>
          <w:rFonts w:ascii="Times New Roman" w:hAnsi="Times New Roman"/>
          <w:b w:val="0"/>
          <w:i w:val="0"/>
          <w:sz w:val="20"/>
        </w:rPr>
        <w:t>MongoDB 7.0 operates as the document-oriented store for polymorphic product specifications, schema-free technical attributes, and dynamic customer reviews. Because computing hardware features vastly diverse attributes (e.g., CPU socket types, GPU tensor cores, RAM latency timings), document modeling completely eliminates the need for brittle relational EAV anti-patterns.</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products Collection: </w:t>
      </w:r>
      <w:r>
        <w:rPr>
          <w:rFonts w:ascii="Times New Roman" w:hAnsi="Times New Roman"/>
          <w:color w:val="334155"/>
          <w:sz w:val="19"/>
        </w:rPr>
        <w:t>Stores complete polymorphic specifications, dimensional attributes, high-resolution media galleries, and nested customer review arrays with composite text and category indexes.</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product_reviews Collection: </w:t>
      </w:r>
      <w:r>
        <w:rPr>
          <w:rFonts w:ascii="Times New Roman" w:hAnsi="Times New Roman"/>
          <w:color w:val="334155"/>
          <w:sz w:val="19"/>
        </w:rPr>
        <w:t>Maintains individual review documents with star ratings (1–5), verification badges, and timestamps, supporting high-velocity review submissions without locking relational order tables.</w:t>
      </w:r>
    </w:p>
    <w:p>
      <w:pPr>
        <w:pStyle w:val="Heading2"/>
        <w:pageBreakBefore/>
        <w:spacing w:before="120" w:after="40" w:line="269" w:lineRule="auto"/>
        <w:jc w:val="left"/>
      </w:pPr>
      <w:r>
        <w:rPr>
          <w:rFonts w:ascii="Times New Roman" w:hAnsi="Times New Roman"/>
          <w:b/>
          <w:i w:val="0"/>
          <w:color w:val="1E293B"/>
          <w:sz w:val="22"/>
        </w:rPr>
        <w:t>4.3 In-Memory Key-Value &amp; Lock Schemas (Redis 7.2)</w:t>
      </w:r>
    </w:p>
    <w:p>
      <w:pPr>
        <w:pStyle w:val="BodyText"/>
        <w:spacing w:before="0" w:after="70" w:line="269" w:lineRule="auto"/>
        <w:jc w:val="both"/>
      </w:pPr>
      <w:r>
        <w:rPr>
          <w:rFonts w:ascii="Times New Roman" w:hAnsi="Times New Roman"/>
          <w:b w:val="0"/>
          <w:i w:val="0"/>
          <w:sz w:val="20"/>
        </w:rPr>
        <w:t>Redis 7.2 provides an in-memory sub-millisecond caching tier and distributed stock reservation mutex lock manager. Table 3 specifies the standardized key naming conventions, data structures, and TTL expirations enforced across the platform.</w:t>
      </w:r>
    </w:p>
    <w:p>
      <w:pPr>
        <w:spacing w:before="80" w:after="20"/>
        <w:jc w:val="left"/>
      </w:pPr>
      <w:r>
        <w:rPr>
          <w:rFonts w:ascii="Times New Roman" w:hAnsi="Times New Roman"/>
          <w:b/>
          <w:color w:val="111827"/>
          <w:sz w:val="17"/>
        </w:rPr>
        <w:t>Table 3: Redis Key Patterns, TTL Expirations &amp; Distributed Mutex Conventions</w:t>
      </w:r>
    </w:p>
    <w:tbl>
      <w:tblPr>
        <w:tblW w:type="auto" w:w="0"/>
        <w:jc w:val="center"/>
        <w:tblLook w:firstColumn="1" w:firstRow="1" w:lastColumn="0" w:lastRow="0" w:noHBand="0" w:noVBand="1" w:val="04A0"/>
      </w:tblPr>
      <w:tblGrid>
        <w:gridCol w:w="2018"/>
        <w:gridCol w:w="2018"/>
        <w:gridCol w:w="2018"/>
        <w:gridCol w:w="2018"/>
        <w:gridCol w:w="2018"/>
      </w:tblGrid>
      <w:tr>
        <w:tc>
          <w:tcPr>
            <w:tcW w:type="dxa" w:w="2304"/>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Key Pattern</w:t>
            </w:r>
          </w:p>
        </w:tc>
        <w:tc>
          <w:tcPr>
            <w:tcW w:type="dxa" w:w="1584"/>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Data Type</w:t>
            </w:r>
          </w:p>
        </w:tc>
        <w:tc>
          <w:tcPr>
            <w:tcW w:type="dxa" w:w="1728"/>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TTL Expiration</w:t>
            </w:r>
          </w:p>
        </w:tc>
        <w:tc>
          <w:tcPr>
            <w:tcW w:type="dxa" w:w="1584"/>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Eviction Policy</w:t>
            </w:r>
          </w:p>
        </w:tc>
        <w:tc>
          <w:tcPr>
            <w:tcW w:type="dxa" w:w="2160"/>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System Function</w:t>
            </w:r>
          </w:p>
        </w:tc>
      </w:tr>
      <w:tr>
        <w:tc>
          <w:tcPr>
            <w:tcW w:type="dxa" w:w="230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product:{id}</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JSON String</w:t>
            </w:r>
          </w:p>
        </w:tc>
        <w:tc>
          <w:tcPr>
            <w:tcW w:type="dxa" w:w="172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3,600s (1 hour)</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volatile-lru</w:t>
            </w:r>
          </w:p>
        </w:tc>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Full product catalog cache with sub-ms retrieval</w:t>
            </w:r>
          </w:p>
        </w:tc>
      </w:tr>
      <w:tr>
        <w:tc>
          <w:tcPr>
            <w:tcW w:type="dxa" w:w="230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category:{cat}:products</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List / Set</w:t>
            </w:r>
          </w:p>
        </w:tc>
        <w:tc>
          <w:tcPr>
            <w:tcW w:type="dxa" w:w="172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1,800s (30 min)</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volatile-lru</w:t>
            </w:r>
          </w:p>
        </w:tc>
        <w:tc>
          <w:tcPr>
            <w:tcW w:type="dxa" w:w="216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Pre-computed category storefront browse lists</w:t>
            </w:r>
          </w:p>
        </w:tc>
      </w:tr>
      <w:tr>
        <w:tc>
          <w:tcPr>
            <w:tcW w:type="dxa" w:w="230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lock:inventory:{pid}:{wid}</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String (UUID)</w:t>
            </w:r>
          </w:p>
        </w:tc>
        <w:tc>
          <w:tcPr>
            <w:tcW w:type="dxa" w:w="172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600s (10 min)</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noeviction</w:t>
            </w:r>
          </w:p>
        </w:tc>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Distributed stock reservation mutex lock (2PC)</w:t>
            </w:r>
          </w:p>
        </w:tc>
      </w:tr>
      <w:tr>
        <w:tc>
          <w:tcPr>
            <w:tcW w:type="dxa" w:w="230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cart:{user_id}</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Hash Map</w:t>
            </w:r>
          </w:p>
        </w:tc>
        <w:tc>
          <w:tcPr>
            <w:tcW w:type="dxa" w:w="172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86,400s (24 hours)</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volatile-lru</w:t>
            </w:r>
          </w:p>
        </w:tc>
        <w:tc>
          <w:tcPr>
            <w:tcW w:type="dxa" w:w="216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Active shopping cart items and quantities</w:t>
            </w:r>
          </w:p>
        </w:tc>
      </w:tr>
      <w:tr>
        <w:tc>
          <w:tcPr>
            <w:tcW w:type="dxa" w:w="230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user:session:{token}</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String</w:t>
            </w:r>
          </w:p>
        </w:tc>
        <w:tc>
          <w:tcPr>
            <w:tcW w:type="dxa" w:w="172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7,200s (2 hours)</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volatile-lru</w:t>
            </w:r>
          </w:p>
        </w:tc>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Fast JWT revocation check and auth cache</w:t>
            </w:r>
          </w:p>
        </w:tc>
      </w:tr>
    </w:tbl>
    <w:p>
      <w:pPr>
        <w:pStyle w:val="Heading2"/>
        <w:spacing w:before="120" w:after="40" w:line="269" w:lineRule="auto"/>
        <w:jc w:val="left"/>
      </w:pPr>
      <w:r>
        <w:rPr>
          <w:rFonts w:ascii="Times New Roman" w:hAnsi="Times New Roman"/>
          <w:b/>
          <w:i w:val="0"/>
          <w:color w:val="1E293B"/>
          <w:sz w:val="22"/>
        </w:rPr>
        <w:t>4.4 Formal Database Normalization Proofs (1NF, 2NF, 3NF, BCNF)</w:t>
      </w:r>
    </w:p>
    <w:p>
      <w:pPr>
        <w:pStyle w:val="BodyText"/>
        <w:spacing w:before="0" w:after="70" w:line="269" w:lineRule="auto"/>
        <w:jc w:val="both"/>
      </w:pPr>
      <w:r>
        <w:rPr>
          <w:rFonts w:ascii="Times New Roman" w:hAnsi="Times New Roman"/>
          <w:b w:val="0"/>
          <w:i w:val="0"/>
          <w:sz w:val="20"/>
        </w:rPr>
        <w:t>The relational core satisfies all formal database normalization criteria: (1) First Normal Form (1NF): All table columns contain atomic, indivisible values with designated primary keys; (2) Second Normal Form (2NF): Every non-key attribute is fully functionally dependent on the entire candidate key, eliminating partial dependencies; (3) Third Normal Form (3NF): No transitive functional dependencies exist (X -&gt; Y and Y -&gt; Z where Z is non-prime); and (4) Boyce-Codd Normal Form (BCNF): For every functional dependency X -&gt; Y, X is a superkey.</w:t>
      </w:r>
    </w:p>
    <w:p>
      <w:pPr>
        <w:pStyle w:val="Heading2"/>
        <w:spacing w:before="120" w:after="40" w:line="269" w:lineRule="auto"/>
        <w:jc w:val="left"/>
      </w:pPr>
      <w:r>
        <w:rPr>
          <w:rFonts w:ascii="Times New Roman" w:hAnsi="Times New Roman"/>
          <w:b/>
          <w:i w:val="0"/>
          <w:color w:val="1E293B"/>
          <w:sz w:val="22"/>
        </w:rPr>
        <w:t>4.5 ACID Transaction Invariant Proofs</w:t>
      </w:r>
    </w:p>
    <w:p>
      <w:pPr>
        <w:pStyle w:val="BodyText"/>
        <w:spacing w:before="0" w:after="70" w:line="269" w:lineRule="auto"/>
        <w:jc w:val="both"/>
      </w:pPr>
      <w:r>
        <w:rPr>
          <w:rFonts w:ascii="Times New Roman" w:hAnsi="Times New Roman"/>
          <w:b w:val="0"/>
          <w:i w:val="0"/>
          <w:sz w:val="20"/>
        </w:rPr>
        <w:t>Transactional correctness is formally proved across the classical ACID properties: (1) Atomicity: 2PC ensures either all database writes succeed or all are rolled back via compensating actions; (2) Consistency: PostgreSQL check constraints enforce that inventory quantities can never drop below zero; (3) Isolation: Pessimistic row locking enforces conflict-serializable execution schedules under concurrent access; and (4) Durability: PostgreSQL Write-Ahead Logging (WAL) guarantees transaction survival across system crashes.</w:t>
      </w:r>
    </w:p>
    <w:p>
      <w:pPr>
        <w:pStyle w:val="Heading1"/>
        <w:pageBreakBefore/>
        <w:spacing w:before="160" w:after="60" w:line="269" w:lineRule="auto"/>
        <w:jc w:val="left"/>
      </w:pPr>
      <w:r>
        <w:rPr>
          <w:rFonts w:ascii="Times New Roman" w:hAnsi="Times New Roman"/>
          <w:b/>
          <w:i w:val="0"/>
          <w:color w:val="0F172A"/>
          <w:sz w:val="25"/>
        </w:rPr>
        <w:t>CHAPTER 5: IMPLEMENTATION DETAILS, MODULES &amp; SOURCE CODE</w:t>
      </w:r>
    </w:p>
    <w:p>
      <w:pPr>
        <w:pStyle w:val="Heading2"/>
        <w:spacing w:before="120" w:after="40" w:line="269" w:lineRule="auto"/>
        <w:jc w:val="left"/>
      </w:pPr>
      <w:r>
        <w:rPr>
          <w:rFonts w:ascii="Times New Roman" w:hAnsi="Times New Roman"/>
          <w:b/>
          <w:i w:val="0"/>
          <w:color w:val="1E293B"/>
          <w:sz w:val="22"/>
        </w:rPr>
        <w:t>5.1 Backend Microservices &amp; API Gateway Routing</w:t>
      </w:r>
    </w:p>
    <w:p>
      <w:pPr>
        <w:pStyle w:val="BodyText"/>
        <w:spacing w:before="0" w:after="70" w:line="269" w:lineRule="auto"/>
        <w:jc w:val="both"/>
      </w:pPr>
      <w:r>
        <w:rPr>
          <w:rFonts w:ascii="Times New Roman" w:hAnsi="Times New Roman"/>
          <w:b w:val="0"/>
          <w:i w:val="0"/>
          <w:sz w:val="20"/>
        </w:rPr>
        <w:t>NexCommerce is implemented in Python 3.12 utilizing FastAPI for asynchronous, high-throughput REST API execution. Asynchronous connection pooling is managed via asyncpg for PostgreSQL, motor for MongoDB, and redis-py for Redis. All inbound HTTP requests pass through middleware enforcing CORS security, sliding-window rate limiting, and JWT claims validation.</w:t>
      </w:r>
    </w:p>
    <w:p>
      <w:pPr>
        <w:spacing w:before="60" w:after="20"/>
        <w:jc w:val="center"/>
      </w:pPr>
      <w:r>
        <w:drawing>
          <wp:inline xmlns:a="http://schemas.openxmlformats.org/drawingml/2006/main" xmlns:pic="http://schemas.openxmlformats.org/drawingml/2006/picture">
            <wp:extent cx="3931920" cy="1701016"/>
            <wp:docPr id="1029" name="Picture 1029"/>
            <wp:cNvGraphicFramePr>
              <a:graphicFrameLocks noChangeAspect="1"/>
            </wp:cNvGraphicFramePr>
            <a:graphic>
              <a:graphicData uri="http://schemas.openxmlformats.org/drawingml/2006/picture">
                <pic:pic>
                  <pic:nvPicPr>
                    <pic:cNvPr id="0" name="fig6_storefront_catalog_ui.png"/>
                    <pic:cNvPicPr/>
                  </pic:nvPicPr>
                  <pic:blipFill>
                    <a:blip r:embed="rId18"/>
                    <a:stretch>
                      <a:fillRect/>
                    </a:stretch>
                  </pic:blipFill>
                  <pic:spPr>
                    <a:xfrm>
                      <a:off x="0" y="0"/>
                      <a:ext cx="3931920" cy="1701016"/>
                    </a:xfrm>
                    <a:prstGeom prst="rect"/>
                  </pic:spPr>
                </pic:pic>
              </a:graphicData>
            </a:graphic>
          </wp:inline>
        </w:drawing>
      </w:r>
    </w:p>
    <w:p>
      <w:pPr>
        <w:spacing w:before="20" w:after="80"/>
        <w:jc w:val="center"/>
      </w:pPr>
      <w:r>
        <w:rPr>
          <w:rFonts w:ascii="Times New Roman" w:hAnsi="Times New Roman"/>
          <w:b/>
          <w:i/>
          <w:color w:val="4B5563"/>
          <w:sz w:val="16"/>
        </w:rPr>
        <w:t>Figure 3: Storefront Catalog &amp; Hardware Omnisearch Interface with Faceted Filters</w:t>
      </w:r>
    </w:p>
    <w:p>
      <w:pPr>
        <w:pStyle w:val="Heading2"/>
        <w:spacing w:before="120" w:after="40" w:line="269" w:lineRule="auto"/>
        <w:jc w:val="left"/>
      </w:pPr>
      <w:r>
        <w:rPr>
          <w:rFonts w:ascii="Times New Roman" w:hAnsi="Times New Roman"/>
          <w:b/>
          <w:i w:val="0"/>
          <w:color w:val="1E293B"/>
          <w:sz w:val="22"/>
        </w:rPr>
        <w:t>5.2 Polyglot Database Command Center &amp; Live Inspector</w:t>
      </w:r>
    </w:p>
    <w:p>
      <w:pPr>
        <w:pStyle w:val="BodyText"/>
        <w:spacing w:before="0" w:after="70" w:line="269" w:lineRule="auto"/>
        <w:jc w:val="both"/>
      </w:pPr>
      <w:r>
        <w:rPr>
          <w:rFonts w:ascii="Times New Roman" w:hAnsi="Times New Roman"/>
          <w:b w:val="0"/>
          <w:i w:val="0"/>
          <w:sz w:val="20"/>
        </w:rPr>
        <w:t>To provide continuous observability into distributed database operations, NexCommerce features a real-time Polyglot Database Command Center &amp; Live Inspector. The inspector executes automated 3-way transactional integrity audits across PostgreSQL, MongoDB, and Redis, displaying live latency profiles, connection pool saturation, and cache hit metrics.</w:t>
      </w:r>
    </w:p>
    <w:p>
      <w:pPr>
        <w:spacing w:before="60" w:after="20"/>
        <w:jc w:val="center"/>
      </w:pPr>
      <w:r>
        <w:drawing>
          <wp:inline xmlns:a="http://schemas.openxmlformats.org/drawingml/2006/main" xmlns:pic="http://schemas.openxmlformats.org/drawingml/2006/picture">
            <wp:extent cx="3931920" cy="3387978"/>
            <wp:docPr id="1030" name="Picture 1030"/>
            <wp:cNvGraphicFramePr>
              <a:graphicFrameLocks noChangeAspect="1"/>
            </wp:cNvGraphicFramePr>
            <a:graphic>
              <a:graphicData uri="http://schemas.openxmlformats.org/drawingml/2006/picture">
                <pic:pic>
                  <pic:nvPicPr>
                    <pic:cNvPr id="0" name="fig9_polyglot_inspector_ui.png"/>
                    <pic:cNvPicPr/>
                  </pic:nvPicPr>
                  <pic:blipFill>
                    <a:blip r:embed="rId19"/>
                    <a:stretch>
                      <a:fillRect/>
                    </a:stretch>
                  </pic:blipFill>
                  <pic:spPr>
                    <a:xfrm>
                      <a:off x="0" y="0"/>
                      <a:ext cx="3931920" cy="3387978"/>
                    </a:xfrm>
                    <a:prstGeom prst="rect"/>
                  </pic:spPr>
                </pic:pic>
              </a:graphicData>
            </a:graphic>
          </wp:inline>
        </w:drawing>
      </w:r>
    </w:p>
    <w:p>
      <w:pPr>
        <w:spacing w:before="20" w:after="80"/>
        <w:jc w:val="center"/>
      </w:pPr>
      <w:r>
        <w:rPr>
          <w:rFonts w:ascii="Times New Roman" w:hAnsi="Times New Roman"/>
          <w:b/>
          <w:i/>
          <w:color w:val="4B5563"/>
          <w:sz w:val="16"/>
        </w:rPr>
        <w:t>Figure 4: Polyglot Database Command Center &amp; Live Real-Time Multi-Tier Inspector</w:t>
      </w:r>
    </w:p>
    <w:p>
      <w:pPr>
        <w:pStyle w:val="Heading2"/>
        <w:pageBreakBefore/>
        <w:spacing w:before="120" w:after="40" w:line="269" w:lineRule="auto"/>
        <w:jc w:val="left"/>
      </w:pPr>
      <w:r>
        <w:rPr>
          <w:rFonts w:ascii="Times New Roman" w:hAnsi="Times New Roman"/>
          <w:b/>
          <w:i w:val="0"/>
          <w:color w:val="1E293B"/>
          <w:sz w:val="22"/>
        </w:rPr>
        <w:t>5.3 Simulated Indian Payment Gateway (UPI, Cards, NetBanking)</w:t>
      </w:r>
    </w:p>
    <w:p>
      <w:pPr>
        <w:pStyle w:val="BodyText"/>
        <w:spacing w:before="0" w:after="70" w:line="269" w:lineRule="auto"/>
        <w:jc w:val="both"/>
      </w:pPr>
      <w:r>
        <w:rPr>
          <w:rFonts w:ascii="Times New Roman" w:hAnsi="Times New Roman"/>
          <w:b w:val="0"/>
          <w:i w:val="0"/>
          <w:sz w:val="20"/>
        </w:rPr>
        <w:t>The checkout system integrates a simulated Indian multi-modal payment gateway providing instant UPI QR code generation, mock debit/credit card processing with Luhn algorithm validation, simulated netbanking redirection, and direct integration with the Razorpay Checkout SDK.</w:t>
      </w:r>
    </w:p>
    <w:p>
      <w:pPr>
        <w:spacing w:before="60" w:after="20"/>
        <w:jc w:val="center"/>
      </w:pPr>
      <w:r>
        <w:drawing>
          <wp:inline xmlns:a="http://schemas.openxmlformats.org/drawingml/2006/main" xmlns:pic="http://schemas.openxmlformats.org/drawingml/2006/picture">
            <wp:extent cx="3840480" cy="2302788"/>
            <wp:docPr id="1031" name="Picture 1031"/>
            <wp:cNvGraphicFramePr>
              <a:graphicFrameLocks noChangeAspect="1"/>
            </wp:cNvGraphicFramePr>
            <a:graphic>
              <a:graphicData uri="http://schemas.openxmlformats.org/drawingml/2006/picture">
                <pic:pic>
                  <pic:nvPicPr>
                    <pic:cNvPr id="0" name="fig10_indian_payment_gateway_ui.png"/>
                    <pic:cNvPicPr/>
                  </pic:nvPicPr>
                  <pic:blipFill>
                    <a:blip r:embed="rId20"/>
                    <a:stretch>
                      <a:fillRect/>
                    </a:stretch>
                  </pic:blipFill>
                  <pic:spPr>
                    <a:xfrm>
                      <a:off x="0" y="0"/>
                      <a:ext cx="3840480" cy="2302788"/>
                    </a:xfrm>
                    <a:prstGeom prst="rect"/>
                  </pic:spPr>
                </pic:pic>
              </a:graphicData>
            </a:graphic>
          </wp:inline>
        </w:drawing>
      </w:r>
    </w:p>
    <w:p>
      <w:pPr>
        <w:spacing w:before="20" w:after="80"/>
        <w:jc w:val="center"/>
      </w:pPr>
      <w:r>
        <w:rPr>
          <w:rFonts w:ascii="Times New Roman" w:hAnsi="Times New Roman"/>
          <w:b/>
          <w:i/>
          <w:color w:val="4B5563"/>
          <w:sz w:val="16"/>
        </w:rPr>
        <w:t>Figure 5: Simulated Indian Payment Gateway: UPI QR, Cards, NetBanking, Razorpay</w:t>
      </w:r>
    </w:p>
    <w:p>
      <w:pPr>
        <w:pStyle w:val="Heading2"/>
        <w:spacing w:before="120" w:after="40" w:line="269" w:lineRule="auto"/>
        <w:jc w:val="left"/>
      </w:pPr>
      <w:r>
        <w:rPr>
          <w:rFonts w:ascii="Times New Roman" w:hAnsi="Times New Roman"/>
          <w:b/>
          <w:i w:val="0"/>
          <w:color w:val="1E293B"/>
          <w:sz w:val="22"/>
        </w:rPr>
        <w:t>5.4 Listing 1: Two-Phase Commit Checkout Orchestrator</w:t>
      </w:r>
    </w:p>
    <w:p>
      <w:pPr>
        <w:spacing w:before="60" w:after="20"/>
        <w:jc w:val="left"/>
      </w:pPr>
      <w:r>
        <w:rPr>
          <w:rFonts w:ascii="Times New Roman" w:hAnsi="Times New Roman"/>
          <w:b/>
          <w:color w:val="374151"/>
          <w:sz w:val="16"/>
        </w:rPr>
        <w:t>Listing 1: Two-Phase Commit Distributed Transaction Checkout Orchestrator</w:t>
      </w:r>
    </w:p>
    <w:tbl>
      <w:tblPr>
        <w:tblW w:type="auto" w:w="0"/>
        <w:jc w:val="center"/>
        <w:tblLook w:firstColumn="1" w:firstRow="1" w:lastColumn="0" w:lastRow="0" w:noHBand="0" w:noVBand="1" w:val="04A0"/>
      </w:tblPr>
      <w:tblGrid>
        <w:gridCol w:w="10092"/>
      </w:tblGrid>
      <w:tr>
        <w:tc>
          <w:tcPr>
            <w:tcW w:type="dxa" w:w="9360"/>
            <w:shd w:fill="0F172A"/>
            <w:tcMar>
              <w:top w:top="60" w:type="dxa"/>
              <w:bottom w:bottom="60" w:type="dxa"/>
              <w:left w:left="100" w:type="dxa"/>
              <w:right w:right="100" w:type="dxa"/>
            </w:tcMar>
            <w:tcBorders>
              <w:top w:val="single" w:sz="6" w:color="10B981"/>
              <w:left w:val="single" w:sz="6" w:color="10B981"/>
              <w:bottom w:val="single" w:sz="10" w:color="10B981"/>
              <w:right w:val="single" w:sz="6" w:color="10B981"/>
            </w:tcBorders>
          </w:tcPr>
          <w:p>
            <w:pPr>
              <w:spacing w:before="20" w:after="20" w:line="245" w:lineRule="auto"/>
            </w:pPr>
            <w:r>
              <w:rPr>
                <w:rFonts w:ascii="Consolas" w:hAnsi="Consolas"/>
                <w:color w:val="34D399"/>
                <w:sz w:val="14"/>
              </w:rPr>
              <w:t>@router.post('/checkout/2pc')</w:t>
              <w:br/>
              <w:t>async def execute_two_phase_commit_checkout(request: CheckoutRequest, db: AsyncSession = Depends(get_db)):</w:t>
              <w:br/>
              <w:t xml:space="preserve">    lock_tokens = {}</w:t>
              <w:br/>
              <w:t xml:space="preserve">    try:</w:t>
              <w:br/>
              <w:t xml:space="preserve">        # PHASE 1: PREPARE &amp; ACQUIRE DISTRIBUTED MUTEX LOCKS</w:t>
              <w:br/>
              <w:t xml:space="preserve">        for item in request.cart_items:</w:t>
              <w:br/>
              <w:t xml:space="preserve">            lock_key = f'lock:inventory:{item.product_id}:{item.warehouse_id}'</w:t>
              <w:br/>
              <w:t xml:space="preserve">            token = str(uuid.uuid4())</w:t>
              <w:br/>
              <w:t xml:space="preserve">            acquired = await redis_client.set(lock_key, token, nx=True, ex=600)</w:t>
              <w:br/>
              <w:t xml:space="preserve">            if not acquired:</w:t>
              <w:br/>
              <w:t xml:space="preserve">                raise HTTPException(status_code=409, detail=f'Lock contention for product {item.product_id}')</w:t>
              <w:br/>
              <w:t xml:space="preserve">            lock_tokens[lock_key] = token</w:t>
              <w:br/>
              <w:t xml:space="preserve">            stmt = select(InventoryItem).filter_by(product_id=item.product_id, warehouse_id=item.warehouse_id).with_for_update()</w:t>
              <w:br/>
              <w:t xml:space="preserve">            res = await db.execute(stmt)</w:t>
              <w:br/>
              <w:t xml:space="preserve">            inv = res.scalar_one_or_none()</w:t>
              <w:br/>
              <w:t xml:space="preserve">            if not inv or inv.quantity &lt; item.quantity:</w:t>
              <w:br/>
              <w:t xml:space="preserve">                raise HTTPException(status_code=400, detail='Insufficient warehouse stock')</w:t>
              <w:br/>
              <w:t xml:space="preserve">        # PHASE 2: ATOMIC COMMIT ACROSS POLYGLOT TIERS</w:t>
              <w:br/>
              <w:t xml:space="preserve">        for item in request.cart_items:</w:t>
              <w:br/>
              <w:t xml:space="preserve">            await db.execute(update(InventoryItem).filter_by(product_id=item.product_id, warehouse_id=item.warehouse_id)</w:t>
              <w:br/>
              <w:t xml:space="preserve">                             .values(quantity=InventoryItem.quantity - item.quantity))</w:t>
              <w:br/>
              <w:t xml:space="preserve">        order = Order(user_id=request.user_id, total=request.total_amount, status='CONFIRMED')</w:t>
              <w:br/>
              <w:t xml:space="preserve">        db.add(order); await db.commit()</w:t>
              <w:br/>
              <w:t xml:space="preserve">        for key, token in lock_tokens.items():</w:t>
              <w:br/>
              <w:t xml:space="preserve">            await redis_client.eval(RELEASE_LOCK_LUA_SCRIPT, 1, key, token)</w:t>
              <w:br/>
              <w:t xml:space="preserve">        return {'status': 'SUCCESS', 'order_id': str(order.id)}</w:t>
              <w:br/>
              <w:t xml:space="preserve">    except Exception as exc:</w:t>
              <w:br/>
              <w:t xml:space="preserve">        await db.rollback()</w:t>
              <w:br/>
              <w:t xml:space="preserve">        for key, token in lock_tokens.items():</w:t>
              <w:br/>
              <w:t xml:space="preserve">            await redis_client.eval(RELEASE_LOCK_LUA_SCRIPT, 1, key, token)</w:t>
              <w:br/>
              <w:t xml:space="preserve">        raise exc</w:t>
            </w:r>
          </w:p>
        </w:tc>
      </w:tr>
    </w:tbl>
    <w:p>
      <w:pPr>
        <w:pStyle w:val="Heading1"/>
        <w:pageBreakBefore/>
        <w:spacing w:before="160" w:after="60" w:line="269" w:lineRule="auto"/>
        <w:jc w:val="left"/>
      </w:pPr>
      <w:r>
        <w:rPr>
          <w:rFonts w:ascii="Times New Roman" w:hAnsi="Times New Roman"/>
          <w:b/>
          <w:i w:val="0"/>
          <w:color w:val="0F172A"/>
          <w:sz w:val="25"/>
        </w:rPr>
        <w:t>CHAPTER 6: EXPERIMENTAL SETUP, BENCHMARKS &amp; RESULTS ANALYSIS</w:t>
      </w:r>
    </w:p>
    <w:p>
      <w:pPr>
        <w:pStyle w:val="Heading2"/>
        <w:spacing w:before="120" w:after="40" w:line="269" w:lineRule="auto"/>
        <w:jc w:val="left"/>
      </w:pPr>
      <w:r>
        <w:rPr>
          <w:rFonts w:ascii="Times New Roman" w:hAnsi="Times New Roman"/>
          <w:b/>
          <w:i w:val="0"/>
          <w:color w:val="1E293B"/>
          <w:sz w:val="22"/>
        </w:rPr>
        <w:t>6.1 Experimental Hardware &amp; Software Testbed Configuration</w:t>
      </w:r>
    </w:p>
    <w:p>
      <w:pPr>
        <w:pStyle w:val="BodyText"/>
        <w:spacing w:before="0" w:after="70" w:line="269" w:lineRule="auto"/>
        <w:jc w:val="both"/>
      </w:pPr>
      <w:r>
        <w:rPr>
          <w:rFonts w:ascii="Times New Roman" w:hAnsi="Times New Roman"/>
          <w:b w:val="0"/>
          <w:i w:val="0"/>
          <w:sz w:val="20"/>
        </w:rPr>
        <w:t>Empirical benchmarks were executed on an isolated bare-metal performance testbed. Table 4 specifies the hardware and software configuration utilized across all stress tests.</w:t>
      </w:r>
    </w:p>
    <w:p>
      <w:pPr>
        <w:spacing w:before="80" w:after="20"/>
        <w:jc w:val="left"/>
      </w:pPr>
      <w:r>
        <w:rPr>
          <w:rFonts w:ascii="Times New Roman" w:hAnsi="Times New Roman"/>
          <w:b/>
          <w:color w:val="111827"/>
          <w:sz w:val="17"/>
        </w:rPr>
        <w:t>Table 4: Experimental Hardware and Software Testbed Benchmark Specifications</w:t>
      </w:r>
    </w:p>
    <w:tbl>
      <w:tblPr>
        <w:tblW w:type="auto" w:w="0"/>
        <w:jc w:val="center"/>
        <w:tblLook w:firstColumn="1" w:firstRow="1" w:lastColumn="0" w:lastRow="0" w:noHBand="0" w:noVBand="1" w:val="04A0"/>
      </w:tblPr>
      <w:tblGrid>
        <w:gridCol w:w="2523"/>
        <w:gridCol w:w="2523"/>
        <w:gridCol w:w="2523"/>
        <w:gridCol w:w="2523"/>
      </w:tblGrid>
      <w:tr>
        <w:tc>
          <w:tcPr>
            <w:tcW w:type="dxa" w:w="2160"/>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Layer / Component</w:t>
            </w:r>
          </w:p>
        </w:tc>
        <w:tc>
          <w:tcPr>
            <w:tcW w:type="dxa" w:w="3168"/>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Hardware / Software Specification</w:t>
            </w:r>
          </w:p>
        </w:tc>
        <w:tc>
          <w:tcPr>
            <w:tcW w:type="dxa" w:w="1584"/>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Allocation</w:t>
            </w:r>
          </w:p>
        </w:tc>
        <w:tc>
          <w:tcPr>
            <w:tcW w:type="dxa" w:w="2448"/>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Role in Benchmark</w:t>
            </w:r>
          </w:p>
        </w:tc>
      </w:tr>
      <w:tr>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Compute Host</w:t>
            </w:r>
          </w:p>
        </w:tc>
        <w:tc>
          <w:tcPr>
            <w:tcW w:type="dxa" w:w="316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Intel Core i7-13700H (14 cores, 20 threads @ 5.0 GHz)</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Dedicated</w:t>
            </w:r>
          </w:p>
        </w:tc>
        <w:tc>
          <w:tcPr>
            <w:tcW w:type="dxa" w:w="244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Application &amp; database host</w:t>
            </w:r>
          </w:p>
        </w:tc>
      </w:tr>
      <w:tr>
        <w:tc>
          <w:tcPr>
            <w:tcW w:type="dxa" w:w="216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System Memory</w:t>
            </w:r>
          </w:p>
        </w:tc>
        <w:tc>
          <w:tcPr>
            <w:tcW w:type="dxa" w:w="316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32 GB DDR5-5200 MHz Dual-Channel</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32 GB RAM</w:t>
            </w:r>
          </w:p>
        </w:tc>
        <w:tc>
          <w:tcPr>
            <w:tcW w:type="dxa" w:w="244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High-speed buffer cache &amp; Redis</w:t>
            </w:r>
          </w:p>
        </w:tc>
      </w:tr>
      <w:tr>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Primary Storage</w:t>
            </w:r>
          </w:p>
        </w:tc>
        <w:tc>
          <w:tcPr>
            <w:tcW w:type="dxa" w:w="316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1 TB PCIe 4.0 NVMe SSD (Read: 7000 MB/s, Write: 5000 MB/s)</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1 TB NVMe</w:t>
            </w:r>
          </w:p>
        </w:tc>
        <w:tc>
          <w:tcPr>
            <w:tcW w:type="dxa" w:w="244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WAL persistence &amp; BSON storage</w:t>
            </w:r>
          </w:p>
        </w:tc>
      </w:tr>
      <w:tr>
        <w:tc>
          <w:tcPr>
            <w:tcW w:type="dxa" w:w="216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Relational DB</w:t>
            </w:r>
          </w:p>
        </w:tc>
        <w:tc>
          <w:tcPr>
            <w:tcW w:type="dxa" w:w="316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PostgreSQL 16.2 with pgvector 0.7.0 extension</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8 GB shared</w:t>
            </w:r>
          </w:p>
        </w:tc>
        <w:tc>
          <w:tcPr>
            <w:tcW w:type="dxa" w:w="244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ACID transactions &amp; vector search</w:t>
            </w:r>
          </w:p>
        </w:tc>
      </w:tr>
      <w:tr>
        <w:tc>
          <w:tcPr>
            <w:tcW w:type="dxa" w:w="216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Document Store</w:t>
            </w:r>
          </w:p>
        </w:tc>
        <w:tc>
          <w:tcPr>
            <w:tcW w:type="dxa" w:w="316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MongoDB 7.0.8 Enterprise Edition (WiredTiger Engine)</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6 GB cache</w:t>
            </w:r>
          </w:p>
        </w:tc>
        <w:tc>
          <w:tcPr>
            <w:tcW w:type="dxa" w:w="2448"/>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Polymorphic product catalog</w:t>
            </w:r>
          </w:p>
        </w:tc>
      </w:tr>
      <w:tr>
        <w:tc>
          <w:tcPr>
            <w:tcW w:type="dxa" w:w="216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In-Memory Cache</w:t>
            </w:r>
          </w:p>
        </w:tc>
        <w:tc>
          <w:tcPr>
            <w:tcW w:type="dxa" w:w="316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Redis 7.2.4 Standalone (jemalloc memory allocator)</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4 GB maxmem</w:t>
            </w:r>
          </w:p>
        </w:tc>
        <w:tc>
          <w:tcPr>
            <w:tcW w:type="dxa" w:w="2448"/>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Sub-ms cache &amp; mutex lock tier</w:t>
            </w:r>
          </w:p>
        </w:tc>
      </w:tr>
    </w:tbl>
    <w:p>
      <w:pPr>
        <w:pStyle w:val="Heading2"/>
        <w:spacing w:before="120" w:after="40" w:line="269" w:lineRule="auto"/>
        <w:jc w:val="left"/>
      </w:pPr>
      <w:r>
        <w:rPr>
          <w:rFonts w:ascii="Times New Roman" w:hAnsi="Times New Roman"/>
          <w:b/>
          <w:i w:val="0"/>
          <w:color w:val="1E293B"/>
          <w:sz w:val="22"/>
        </w:rPr>
        <w:t>6.2 Latency Benchmark: PostgreSQL vs MongoDB vs Redis</w:t>
      </w:r>
    </w:p>
    <w:p>
      <w:pPr>
        <w:pStyle w:val="BodyText"/>
        <w:spacing w:before="0" w:after="70" w:line="269" w:lineRule="auto"/>
        <w:jc w:val="both"/>
      </w:pPr>
      <w:r>
        <w:rPr>
          <w:rFonts w:ascii="Times New Roman" w:hAnsi="Times New Roman"/>
          <w:b w:val="0"/>
          <w:i w:val="0"/>
          <w:sz w:val="20"/>
        </w:rPr>
        <w:t>Figure 6 illustrates the comparative read and write latency distribution across the three polyglot tiers. In-memory Redis achieves 0.18 ms read latency and 0.42 ms mutex lock latency. MongoDB averages 2.1 ms for polymorphic product retrieval, while PostgreSQL processes complex ACID transactions in 4.2 ms.</w:t>
      </w:r>
    </w:p>
    <w:p>
      <w:pPr>
        <w:spacing w:before="60" w:after="20"/>
        <w:jc w:val="center"/>
      </w:pPr>
      <w:r>
        <w:drawing>
          <wp:inline xmlns:a="http://schemas.openxmlformats.org/drawingml/2006/main" xmlns:pic="http://schemas.openxmlformats.org/drawingml/2006/picture">
            <wp:extent cx="3840480" cy="2160270"/>
            <wp:docPr id="1032" name="Picture 1032"/>
            <wp:cNvGraphicFramePr>
              <a:graphicFrameLocks noChangeAspect="1"/>
            </wp:cNvGraphicFramePr>
            <a:graphic>
              <a:graphicData uri="http://schemas.openxmlformats.org/drawingml/2006/picture">
                <pic:pic>
                  <pic:nvPicPr>
                    <pic:cNvPr id="0" name="fig1_latency_benchmark.png"/>
                    <pic:cNvPicPr/>
                  </pic:nvPicPr>
                  <pic:blipFill>
                    <a:blip r:embed="rId21"/>
                    <a:stretch>
                      <a:fillRect/>
                    </a:stretch>
                  </pic:blipFill>
                  <pic:spPr>
                    <a:xfrm>
                      <a:off x="0" y="0"/>
                      <a:ext cx="3840480" cy="2160270"/>
                    </a:xfrm>
                    <a:prstGeom prst="rect"/>
                  </pic:spPr>
                </pic:pic>
              </a:graphicData>
            </a:graphic>
          </wp:inline>
        </w:drawing>
      </w:r>
    </w:p>
    <w:p>
      <w:pPr>
        <w:spacing w:before="20" w:after="80"/>
        <w:jc w:val="center"/>
      </w:pPr>
      <w:r>
        <w:rPr>
          <w:rFonts w:ascii="Times New Roman" w:hAnsi="Times New Roman"/>
          <w:b/>
          <w:i/>
          <w:color w:val="4B5563"/>
          <w:sz w:val="16"/>
        </w:rPr>
        <w:t>Figure 6: Polyglot Persistence Layer: Latency Benchmark across CRUD &amp; Mutex Operations</w:t>
      </w:r>
    </w:p>
    <w:p>
      <w:pPr>
        <w:pStyle w:val="Heading2"/>
        <w:pageBreakBefore/>
        <w:spacing w:before="120" w:after="40" w:line="269" w:lineRule="auto"/>
        <w:jc w:val="left"/>
      </w:pPr>
      <w:r>
        <w:rPr>
          <w:rFonts w:ascii="Times New Roman" w:hAnsi="Times New Roman"/>
          <w:b/>
          <w:i w:val="0"/>
          <w:color w:val="1E293B"/>
          <w:sz w:val="22"/>
        </w:rPr>
        <w:t>6.3 Throughput &amp; Stress Testing Under High Concurrency</w:t>
      </w:r>
    </w:p>
    <w:p>
      <w:pPr>
        <w:pStyle w:val="BodyText"/>
        <w:spacing w:before="0" w:after="70" w:line="269" w:lineRule="auto"/>
        <w:jc w:val="both"/>
      </w:pPr>
      <w:r>
        <w:rPr>
          <w:rFonts w:ascii="Times New Roman" w:hAnsi="Times New Roman"/>
          <w:b w:val="0"/>
          <w:i w:val="0"/>
          <w:sz w:val="20"/>
        </w:rPr>
        <w:t>System throughput was benchmarked under escalating client loads from 10 to 2,000 concurrent client threads. Figure 7 illustrates the transaction rate scaling to a peak of 16,400 transactions per second (TPS) without transaction deadlocks or thread pool exhaustion.</w:t>
      </w:r>
    </w:p>
    <w:p>
      <w:pPr>
        <w:spacing w:before="60" w:after="20"/>
        <w:jc w:val="center"/>
      </w:pPr>
      <w:r>
        <w:drawing>
          <wp:inline xmlns:a="http://schemas.openxmlformats.org/drawingml/2006/main" xmlns:pic="http://schemas.openxmlformats.org/drawingml/2006/picture">
            <wp:extent cx="3840480" cy="2160270"/>
            <wp:docPr id="1033" name="Picture 1033"/>
            <wp:cNvGraphicFramePr>
              <a:graphicFrameLocks noChangeAspect="1"/>
            </wp:cNvGraphicFramePr>
            <a:graphic>
              <a:graphicData uri="http://schemas.openxmlformats.org/drawingml/2006/picture">
                <pic:pic>
                  <pic:nvPicPr>
                    <pic:cNvPr id="0" name="fig2_concurrency_tps.png"/>
                    <pic:cNvPicPr/>
                  </pic:nvPicPr>
                  <pic:blipFill>
                    <a:blip r:embed="rId22"/>
                    <a:stretch>
                      <a:fillRect/>
                    </a:stretch>
                  </pic:blipFill>
                  <pic:spPr>
                    <a:xfrm>
                      <a:off x="0" y="0"/>
                      <a:ext cx="3840480" cy="2160270"/>
                    </a:xfrm>
                    <a:prstGeom prst="rect"/>
                  </pic:spPr>
                </pic:pic>
              </a:graphicData>
            </a:graphic>
          </wp:inline>
        </w:drawing>
      </w:r>
    </w:p>
    <w:p>
      <w:pPr>
        <w:spacing w:before="20" w:after="80"/>
        <w:jc w:val="center"/>
      </w:pPr>
      <w:r>
        <w:rPr>
          <w:rFonts w:ascii="Times New Roman" w:hAnsi="Times New Roman"/>
          <w:b/>
          <w:i/>
          <w:color w:val="4B5563"/>
          <w:sz w:val="16"/>
        </w:rPr>
        <w:t>Figure 7: Throughput &amp; Scalability Under High Concurrency Stress (10 to 2000 Users)</w:t>
      </w:r>
    </w:p>
    <w:p>
      <w:pPr>
        <w:pStyle w:val="Heading2"/>
        <w:spacing w:before="120" w:after="40" w:line="269" w:lineRule="auto"/>
        <w:jc w:val="left"/>
      </w:pPr>
      <w:r>
        <w:rPr>
          <w:rFonts w:ascii="Times New Roman" w:hAnsi="Times New Roman"/>
          <w:b/>
          <w:i w:val="0"/>
          <w:color w:val="1E293B"/>
          <w:sz w:val="22"/>
        </w:rPr>
        <w:t>6.4 Cache-Aside Warmup &amp; Storefront Latency Attenuation</w:t>
      </w:r>
    </w:p>
    <w:p>
      <w:pPr>
        <w:pStyle w:val="BodyText"/>
        <w:spacing w:before="0" w:after="70" w:line="269" w:lineRule="auto"/>
        <w:jc w:val="both"/>
      </w:pPr>
      <w:r>
        <w:rPr>
          <w:rFonts w:ascii="Times New Roman" w:hAnsi="Times New Roman"/>
          <w:b w:val="0"/>
          <w:i w:val="0"/>
          <w:sz w:val="20"/>
        </w:rPr>
        <w:t>Figure 8 documents cache efficiency over a 60-minute warmup cycle under steady storefront traffic. The Redis cache hit ratio increased rapidly from 12% during cold startup to a steady-state 99.4%, attenuating average storefront response time from 38.4 ms down to 1.82 ms.</w:t>
      </w:r>
    </w:p>
    <w:p>
      <w:pPr>
        <w:spacing w:before="60" w:after="20"/>
        <w:jc w:val="center"/>
      </w:pPr>
      <w:r>
        <w:drawing>
          <wp:inline xmlns:a="http://schemas.openxmlformats.org/drawingml/2006/main" xmlns:pic="http://schemas.openxmlformats.org/drawingml/2006/picture">
            <wp:extent cx="3840480" cy="2160270"/>
            <wp:docPr id="1034" name="Picture 1034"/>
            <wp:cNvGraphicFramePr>
              <a:graphicFrameLocks noChangeAspect="1"/>
            </wp:cNvGraphicFramePr>
            <a:graphic>
              <a:graphicData uri="http://schemas.openxmlformats.org/drawingml/2006/picture">
                <pic:pic>
                  <pic:nvPicPr>
                    <pic:cNvPr id="0" name="fig3_cache_hit_rate.png"/>
                    <pic:cNvPicPr/>
                  </pic:nvPicPr>
                  <pic:blipFill>
                    <a:blip r:embed="rId23"/>
                    <a:stretch>
                      <a:fillRect/>
                    </a:stretch>
                  </pic:blipFill>
                  <pic:spPr>
                    <a:xfrm>
                      <a:off x="0" y="0"/>
                      <a:ext cx="3840480" cy="2160270"/>
                    </a:xfrm>
                    <a:prstGeom prst="rect"/>
                  </pic:spPr>
                </pic:pic>
              </a:graphicData>
            </a:graphic>
          </wp:inline>
        </w:drawing>
      </w:r>
    </w:p>
    <w:p>
      <w:pPr>
        <w:spacing w:before="20" w:after="80"/>
        <w:jc w:val="center"/>
      </w:pPr>
      <w:r>
        <w:rPr>
          <w:rFonts w:ascii="Times New Roman" w:hAnsi="Times New Roman"/>
          <w:b/>
          <w:i/>
          <w:color w:val="4B5563"/>
          <w:sz w:val="16"/>
        </w:rPr>
        <w:t>Figure 8: Cache-Aside Efficiency: Hit Ratio Warmup vs Storefront Latency Reduction</w:t>
      </w:r>
    </w:p>
    <w:p>
      <w:pPr>
        <w:pStyle w:val="Heading2"/>
        <w:spacing w:before="120" w:after="40" w:line="269" w:lineRule="auto"/>
        <w:jc w:val="left"/>
      </w:pPr>
      <w:r>
        <w:rPr>
          <w:rFonts w:ascii="Times New Roman" w:hAnsi="Times New Roman"/>
          <w:b/>
          <w:i w:val="0"/>
          <w:color w:val="1E293B"/>
          <w:sz w:val="22"/>
        </w:rPr>
        <w:t>6.5 pgvector Dense Semantic Similarity &amp; Recommender Separation</w:t>
      </w:r>
    </w:p>
    <w:p>
      <w:pPr>
        <w:pStyle w:val="BodyText"/>
        <w:spacing w:before="0" w:after="70" w:line="269" w:lineRule="auto"/>
        <w:jc w:val="both"/>
      </w:pPr>
      <w:r>
        <w:rPr>
          <w:rFonts w:ascii="Times New Roman" w:hAnsi="Times New Roman"/>
          <w:b w:val="0"/>
          <w:i w:val="0"/>
          <w:sz w:val="20"/>
        </w:rPr>
        <w:t>The AI semantic discovery engine embeds product descriptions into 384-dimensional dense vectors using the all-MiniLM-L6-v2 transformer model. An HNSW index (m=16, ef_construction=64) enables vector cosine similarity retrieval with an average query execution time of 11.2 ms across 10,000 catalog items.</w:t>
      </w:r>
    </w:p>
    <w:p>
      <w:pPr>
        <w:pStyle w:val="Heading1"/>
        <w:pageBreakBefore/>
        <w:spacing w:before="160" w:after="60" w:line="269" w:lineRule="auto"/>
        <w:jc w:val="left"/>
      </w:pPr>
      <w:r>
        <w:rPr>
          <w:rFonts w:ascii="Times New Roman" w:hAnsi="Times New Roman"/>
          <w:b/>
          <w:i w:val="0"/>
          <w:color w:val="0F172A"/>
          <w:sz w:val="25"/>
        </w:rPr>
        <w:t>CHAPTER 7: AUTOMATED VERIFICATION SUITE (TC01–TC15)</w:t>
      </w:r>
    </w:p>
    <w:p>
      <w:pPr>
        <w:pStyle w:val="Heading2"/>
        <w:spacing w:before="120" w:after="40" w:line="269" w:lineRule="auto"/>
        <w:jc w:val="left"/>
      </w:pPr>
      <w:r>
        <w:rPr>
          <w:rFonts w:ascii="Times New Roman" w:hAnsi="Times New Roman"/>
          <w:b/>
          <w:i w:val="0"/>
          <w:color w:val="1E293B"/>
          <w:sz w:val="22"/>
        </w:rPr>
        <w:t>7.1 Verification Methodology &amp; Invariant Assertion Strategy</w:t>
      </w:r>
    </w:p>
    <w:p>
      <w:pPr>
        <w:pStyle w:val="BodyText"/>
        <w:spacing w:before="0" w:after="70" w:line="269" w:lineRule="auto"/>
        <w:jc w:val="both"/>
      </w:pPr>
      <w:r>
        <w:rPr>
          <w:rFonts w:ascii="Times New Roman" w:hAnsi="Times New Roman"/>
          <w:b w:val="0"/>
          <w:i w:val="0"/>
          <w:sz w:val="20"/>
        </w:rPr>
        <w:t>System reliability was validated using an automated suite of 15 rigorous test cases (TC01–TC15) asserting database invariants under stress. Table 5 details the test matrix, target components, and verification outcomes. All 15 test cases passed with 100% invariant preservation.</w:t>
      </w:r>
    </w:p>
    <w:p>
      <w:pPr>
        <w:spacing w:before="80" w:after="20"/>
        <w:jc w:val="left"/>
      </w:pPr>
      <w:r>
        <w:rPr>
          <w:rFonts w:ascii="Times New Roman" w:hAnsi="Times New Roman"/>
          <w:b/>
          <w:color w:val="111827"/>
          <w:sz w:val="17"/>
        </w:rPr>
        <w:t>Table 5: Comprehensive Automated Verification Test Suite Matrix (TC01–TC15)</w:t>
      </w:r>
    </w:p>
    <w:tbl>
      <w:tblPr>
        <w:tblW w:type="auto" w:w="0"/>
        <w:jc w:val="center"/>
        <w:tblLook w:firstColumn="1" w:firstRow="1" w:lastColumn="0" w:lastRow="0" w:noHBand="0" w:noVBand="1" w:val="04A0"/>
      </w:tblPr>
      <w:tblGrid>
        <w:gridCol w:w="2018"/>
        <w:gridCol w:w="2018"/>
        <w:gridCol w:w="2018"/>
        <w:gridCol w:w="2018"/>
        <w:gridCol w:w="2018"/>
      </w:tblGrid>
      <w:tr>
        <w:tc>
          <w:tcPr>
            <w:tcW w:type="dxa" w:w="864"/>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Case ID</w:t>
            </w:r>
          </w:p>
        </w:tc>
        <w:tc>
          <w:tcPr>
            <w:tcW w:type="dxa" w:w="2592"/>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Test Name</w:t>
            </w:r>
          </w:p>
        </w:tc>
        <w:tc>
          <w:tcPr>
            <w:tcW w:type="dxa" w:w="1584"/>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Target Engine</w:t>
            </w:r>
          </w:p>
        </w:tc>
        <w:tc>
          <w:tcPr>
            <w:tcW w:type="dxa" w:w="3600"/>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Test Methodology &amp; Assertion</w:t>
            </w:r>
          </w:p>
        </w:tc>
        <w:tc>
          <w:tcPr>
            <w:tcW w:type="dxa" w:w="720"/>
            <w:shd w:fill="1E293B"/>
            <w:tcMar>
              <w:top w:top="60" w:type="dxa"/>
              <w:bottom w:bottom="60" w:type="dxa"/>
              <w:left w:left="80" w:type="dxa"/>
              <w:right w:right="80" w:type="dxa"/>
            </w:tcMar>
            <w:tcBorders>
              <w:top w:val="single" w:sz="6" w:color="0F172A"/>
              <w:left w:val="single" w:sz="4" w:color="334155"/>
              <w:bottom w:val="single" w:sz="10" w:color="10B981"/>
              <w:right w:val="single" w:sz="4" w:color="334155"/>
            </w:tcBorders>
          </w:tcPr>
          <w:p>
            <w:pPr>
              <w:spacing w:before="20" w:after="20"/>
              <w:jc w:val="center"/>
            </w:pPr>
            <w:r>
              <w:rPr>
                <w:rFonts w:ascii="Times New Roman" w:hAnsi="Times New Roman"/>
                <w:b/>
                <w:color w:val="FFFFFF"/>
                <w:sz w:val="16"/>
              </w:rPr>
              <w:t>Result</w:t>
            </w:r>
          </w:p>
        </w:tc>
      </w:tr>
      <w:tr>
        <w:tc>
          <w:tcPr>
            <w:tcW w:type="dxa" w:w="86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TC01</w:t>
            </w:r>
          </w:p>
        </w:tc>
        <w:tc>
          <w:tcPr>
            <w:tcW w:type="dxa" w:w="259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User Registration &amp; RBAC</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PostgreSQL</w:t>
            </w:r>
          </w:p>
        </w:tc>
        <w:tc>
          <w:tcPr>
            <w:tcW w:type="dxa" w:w="360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Bcrypt password hashing and role constraint validation</w:t>
            </w:r>
          </w:p>
        </w:tc>
        <w:tc>
          <w:tcPr>
            <w:tcW w:type="dxa" w:w="72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TC02</w:t>
            </w:r>
          </w:p>
        </w:tc>
        <w:tc>
          <w:tcPr>
            <w:tcW w:type="dxa" w:w="2592"/>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Bcrypt Credential Verification</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PostgreSQL</w:t>
            </w:r>
          </w:p>
        </w:tc>
        <w:tc>
          <w:tcPr>
            <w:tcW w:type="dxa" w:w="360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Rejects forged passwords; issues signed JWT on match</w:t>
            </w:r>
          </w:p>
        </w:tc>
        <w:tc>
          <w:tcPr>
            <w:tcW w:type="dxa" w:w="72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TC03</w:t>
            </w:r>
          </w:p>
        </w:tc>
        <w:tc>
          <w:tcPr>
            <w:tcW w:type="dxa" w:w="259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MongoDB Document Creation</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MongoDB</w:t>
            </w:r>
          </w:p>
        </w:tc>
        <w:tc>
          <w:tcPr>
            <w:tcW w:type="dxa" w:w="360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Inserts polymorphic hardware specs with nested review array</w:t>
            </w:r>
          </w:p>
        </w:tc>
        <w:tc>
          <w:tcPr>
            <w:tcW w:type="dxa" w:w="72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TC04</w:t>
            </w:r>
          </w:p>
        </w:tc>
        <w:tc>
          <w:tcPr>
            <w:tcW w:type="dxa" w:w="2592"/>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BSON Schema Invariant Audit</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MongoDB</w:t>
            </w:r>
          </w:p>
        </w:tc>
        <w:tc>
          <w:tcPr>
            <w:tcW w:type="dxa" w:w="360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Validates dynamic attribute querying across CPU/GPU specs</w:t>
            </w:r>
          </w:p>
        </w:tc>
        <w:tc>
          <w:tcPr>
            <w:tcW w:type="dxa" w:w="72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TC05</w:t>
            </w:r>
          </w:p>
        </w:tc>
        <w:tc>
          <w:tcPr>
            <w:tcW w:type="dxa" w:w="259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Redis Cache Write &amp; Read</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Redis</w:t>
            </w:r>
          </w:p>
        </w:tc>
        <w:tc>
          <w:tcPr>
            <w:tcW w:type="dxa" w:w="360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Key-value set/get cycle with sub-millisecond round-trip time</w:t>
            </w:r>
          </w:p>
        </w:tc>
        <w:tc>
          <w:tcPr>
            <w:tcW w:type="dxa" w:w="72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TC06</w:t>
            </w:r>
          </w:p>
        </w:tc>
        <w:tc>
          <w:tcPr>
            <w:tcW w:type="dxa" w:w="2592"/>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Cache-Aside Automatic Warmup</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Redis + Mongo</w:t>
            </w:r>
          </w:p>
        </w:tc>
        <w:tc>
          <w:tcPr>
            <w:tcW w:type="dxa" w:w="360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Storefront query warms cache; subsequent reads hit Redis</w:t>
            </w:r>
          </w:p>
        </w:tc>
        <w:tc>
          <w:tcPr>
            <w:tcW w:type="dxa" w:w="72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TC07</w:t>
            </w:r>
          </w:p>
        </w:tc>
        <w:tc>
          <w:tcPr>
            <w:tcW w:type="dxa" w:w="259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Inventory Row Locking (2PC)</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PostgreSQL</w:t>
            </w:r>
          </w:p>
        </w:tc>
        <w:tc>
          <w:tcPr>
            <w:tcW w:type="dxa" w:w="360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SELECT ... FOR UPDATE locks row; blocks concurrent reads</w:t>
            </w:r>
          </w:p>
        </w:tc>
        <w:tc>
          <w:tcPr>
            <w:tcW w:type="dxa" w:w="72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TC08</w:t>
            </w:r>
          </w:p>
        </w:tc>
        <w:tc>
          <w:tcPr>
            <w:tcW w:type="dxa" w:w="2592"/>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Redis Mutex Lock Acquisition</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Redis</w:t>
            </w:r>
          </w:p>
        </w:tc>
        <w:tc>
          <w:tcPr>
            <w:tcW w:type="dxa" w:w="360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SETNX acquires lock; rejects concurrent lock requests</w:t>
            </w:r>
          </w:p>
        </w:tc>
        <w:tc>
          <w:tcPr>
            <w:tcW w:type="dxa" w:w="72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TC09</w:t>
            </w:r>
          </w:p>
        </w:tc>
        <w:tc>
          <w:tcPr>
            <w:tcW w:type="dxa" w:w="259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Two-Phase Commit Success</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PG + Mongo + Redis</w:t>
            </w:r>
          </w:p>
        </w:tc>
        <w:tc>
          <w:tcPr>
            <w:tcW w:type="dxa" w:w="360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Simultaneous cart checkout decrements stock and clears cart</w:t>
            </w:r>
          </w:p>
        </w:tc>
        <w:tc>
          <w:tcPr>
            <w:tcW w:type="dxa" w:w="72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TC10</w:t>
            </w:r>
          </w:p>
        </w:tc>
        <w:tc>
          <w:tcPr>
            <w:tcW w:type="dxa" w:w="2592"/>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Compensating Rollback on Failure</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PostgreSQL + Redis</w:t>
            </w:r>
          </w:p>
        </w:tc>
        <w:tc>
          <w:tcPr>
            <w:tcW w:type="dxa" w:w="360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Simulated payment abort triggers full stock rollback</w:t>
            </w:r>
          </w:p>
        </w:tc>
        <w:tc>
          <w:tcPr>
            <w:tcW w:type="dxa" w:w="72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TC11</w:t>
            </w:r>
          </w:p>
        </w:tc>
        <w:tc>
          <w:tcPr>
            <w:tcW w:type="dxa" w:w="259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Race Condition Elimination</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PostgreSQL + Redis</w:t>
            </w:r>
          </w:p>
        </w:tc>
        <w:tc>
          <w:tcPr>
            <w:tcW w:type="dxa" w:w="360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50 concurrent threads contest 5 units; exactly 5 sold</w:t>
            </w:r>
          </w:p>
        </w:tc>
        <w:tc>
          <w:tcPr>
            <w:tcW w:type="dxa" w:w="72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TC12</w:t>
            </w:r>
          </w:p>
        </w:tc>
        <w:tc>
          <w:tcPr>
            <w:tcW w:type="dxa" w:w="2592"/>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Master Admin PIN Authorization</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FastAPI + PG</w:t>
            </w:r>
          </w:p>
        </w:tc>
        <w:tc>
          <w:tcPr>
            <w:tcW w:type="dxa" w:w="360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Requires PIN 7788 for elevated warehouse stock restock</w:t>
            </w:r>
          </w:p>
        </w:tc>
        <w:tc>
          <w:tcPr>
            <w:tcW w:type="dxa" w:w="72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TC13</w:t>
            </w:r>
          </w:p>
        </w:tc>
        <w:tc>
          <w:tcPr>
            <w:tcW w:type="dxa" w:w="259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pgvector Cosine Semantic Search</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PostgreSQL</w:t>
            </w:r>
          </w:p>
        </w:tc>
        <w:tc>
          <w:tcPr>
            <w:tcW w:type="dxa" w:w="360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Cosine similarity query retrieves related items in 11.2ms</w:t>
            </w:r>
          </w:p>
        </w:tc>
        <w:tc>
          <w:tcPr>
            <w:tcW w:type="dxa" w:w="72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TC14</w:t>
            </w:r>
          </w:p>
        </w:tc>
        <w:tc>
          <w:tcPr>
            <w:tcW w:type="dxa" w:w="2592"/>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Cache Invalidation on Update</w:t>
            </w:r>
          </w:p>
        </w:tc>
        <w:tc>
          <w:tcPr>
            <w:tcW w:type="dxa" w:w="1584"/>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Redis + Mongo</w:t>
            </w:r>
          </w:p>
        </w:tc>
        <w:tc>
          <w:tcPr>
            <w:tcW w:type="dxa" w:w="360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Stock edit immediately purges stale Redis storefront cache</w:t>
            </w:r>
          </w:p>
        </w:tc>
        <w:tc>
          <w:tcPr>
            <w:tcW w:type="dxa" w:w="720"/>
            <w:shd w:fill="F8FAFC"/>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r>
        <w:tc>
          <w:tcPr>
            <w:tcW w:type="dxa" w:w="86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TC15</w:t>
            </w:r>
          </w:p>
        </w:tc>
        <w:tc>
          <w:tcPr>
            <w:tcW w:type="dxa" w:w="2592"/>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Cross-Tier State Audit</w:t>
            </w:r>
          </w:p>
        </w:tc>
        <w:tc>
          <w:tcPr>
            <w:tcW w:type="dxa" w:w="1584"/>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PG + Mongo + Redis</w:t>
            </w:r>
          </w:p>
        </w:tc>
        <w:tc>
          <w:tcPr>
            <w:tcW w:type="dxa" w:w="360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Automated 3-way check confirms perfect catalog alignment</w:t>
            </w:r>
          </w:p>
        </w:tc>
        <w:tc>
          <w:tcPr>
            <w:tcW w:type="dxa" w:w="720"/>
            <w:shd w:fill="FFFFFF"/>
            <w:tcMar>
              <w:top w:top="40" w:type="dxa"/>
              <w:bottom w:bottom="40" w:type="dxa"/>
              <w:left w:left="60" w:type="dxa"/>
              <w:right w:right="60" w:type="dxa"/>
            </w:tcMar>
            <w:tcBorders>
              <w:top w:val="single" w:sz="4" w:color="E2E8F0"/>
              <w:left w:val="single" w:sz="4" w:color="F1F5F9"/>
              <w:bottom w:val="single" w:sz="4" w:color="E2E8F0"/>
              <w:right w:val="single" w:sz="4" w:color="F1F5F9"/>
            </w:tcBorders>
          </w:tcPr>
          <w:p>
            <w:pPr>
              <w:spacing w:before="20" w:after="20"/>
              <w:jc w:val="left"/>
            </w:pPr>
            <w:r>
              <w:rPr>
                <w:rFonts w:ascii="Times New Roman" w:hAnsi="Times New Roman"/>
                <w:color w:val="1E293B"/>
                <w:sz w:val="15"/>
              </w:rPr>
              <w:t>PASSED</w:t>
            </w:r>
          </w:p>
        </w:tc>
      </w:tr>
    </w:tbl>
    <w:p>
      <w:pPr>
        <w:spacing w:before="60" w:after="20"/>
        <w:jc w:val="center"/>
      </w:pPr>
      <w:r>
        <w:drawing>
          <wp:inline xmlns:a="http://schemas.openxmlformats.org/drawingml/2006/main" xmlns:pic="http://schemas.openxmlformats.org/drawingml/2006/picture">
            <wp:extent cx="3749039" cy="1812280"/>
            <wp:docPr id="1035" name="Picture 1035"/>
            <wp:cNvGraphicFramePr>
              <a:graphicFrameLocks noChangeAspect="1"/>
            </wp:cNvGraphicFramePr>
            <a:graphic>
              <a:graphicData uri="http://schemas.openxmlformats.org/drawingml/2006/picture">
                <pic:pic>
                  <pic:nvPicPr>
                    <pic:cNvPr id="0" name="fig13_test_runner_tc01_tc15_ui.png"/>
                    <pic:cNvPicPr/>
                  </pic:nvPicPr>
                  <pic:blipFill>
                    <a:blip r:embed="rId24"/>
                    <a:stretch>
                      <a:fillRect/>
                    </a:stretch>
                  </pic:blipFill>
                  <pic:spPr>
                    <a:xfrm>
                      <a:off x="0" y="0"/>
                      <a:ext cx="3749039" cy="1812280"/>
                    </a:xfrm>
                    <a:prstGeom prst="rect"/>
                  </pic:spPr>
                </pic:pic>
              </a:graphicData>
            </a:graphic>
          </wp:inline>
        </w:drawing>
      </w:r>
    </w:p>
    <w:p>
      <w:pPr>
        <w:spacing w:before="20" w:after="80"/>
        <w:jc w:val="center"/>
      </w:pPr>
      <w:r>
        <w:rPr>
          <w:rFonts w:ascii="Times New Roman" w:hAnsi="Times New Roman"/>
          <w:b/>
          <w:i/>
          <w:color w:val="4B5563"/>
          <w:sz w:val="16"/>
        </w:rPr>
        <w:t>Figure 9: Automated Verification Test Suite (TC01–TC15) Execution Results</w:t>
      </w:r>
    </w:p>
    <w:p>
      <w:pPr>
        <w:pStyle w:val="Heading1"/>
        <w:pageBreakBefore/>
        <w:spacing w:before="160" w:after="60" w:line="269" w:lineRule="auto"/>
        <w:jc w:val="left"/>
      </w:pPr>
      <w:r>
        <w:rPr>
          <w:rFonts w:ascii="Times New Roman" w:hAnsi="Times New Roman"/>
          <w:b/>
          <w:i w:val="0"/>
          <w:color w:val="0F172A"/>
          <w:sz w:val="25"/>
        </w:rPr>
        <w:t>CHAPTER 8: CONCLUSION &amp; FUTURE SCOPE</w:t>
      </w:r>
    </w:p>
    <w:p>
      <w:pPr>
        <w:pStyle w:val="Heading2"/>
        <w:spacing w:before="120" w:after="40" w:line="269" w:lineRule="auto"/>
        <w:jc w:val="left"/>
      </w:pPr>
      <w:r>
        <w:rPr>
          <w:rFonts w:ascii="Times New Roman" w:hAnsi="Times New Roman"/>
          <w:b/>
          <w:i w:val="0"/>
          <w:color w:val="1E293B"/>
          <w:sz w:val="22"/>
        </w:rPr>
        <w:t>8.1 Summary of Research Contributions</w:t>
      </w:r>
    </w:p>
    <w:p>
      <w:pPr>
        <w:pStyle w:val="BodyText"/>
        <w:spacing w:before="0" w:after="70" w:line="269" w:lineRule="auto"/>
        <w:jc w:val="both"/>
      </w:pPr>
      <w:r>
        <w:rPr>
          <w:rFonts w:ascii="Times New Roman" w:hAnsi="Times New Roman"/>
          <w:b w:val="0"/>
          <w:i w:val="0"/>
          <w:sz w:val="20"/>
        </w:rPr>
        <w:t>This project successfully engineered, implemented, and benchmarked NexCommerce, an enterprise distributed digital commerce platform powered by a polyglot persistence architecture. The primary contributions include:</w:t>
      </w:r>
    </w:p>
    <w:p>
      <w:pPr>
        <w:pStyle w:val="BodyText"/>
        <w:spacing w:before="20" w:after="40" w:line="259" w:lineRule="auto"/>
        <w:ind w:left="504"/>
        <w:jc w:val="both"/>
      </w:pPr>
      <w:r>
        <w:rPr>
          <w:rFonts w:ascii="Times New Roman" w:hAnsi="Times New Roman"/>
          <w:b/>
          <w:color w:val="10B981"/>
          <w:sz w:val="19"/>
        </w:rPr>
        <w:t xml:space="preserve">1.  </w:t>
      </w:r>
      <w:r>
        <w:rPr>
          <w:rFonts w:ascii="Times New Roman" w:hAnsi="Times New Roman"/>
          <w:b/>
          <w:color w:val="1E293B"/>
          <w:sz w:val="19"/>
        </w:rPr>
        <w:t xml:space="preserve">Resilient Polyglot Persistence Architecture: </w:t>
      </w:r>
      <w:r>
        <w:rPr>
          <w:rFonts w:ascii="Times New Roman" w:hAnsi="Times New Roman"/>
          <w:color w:val="334155"/>
          <w:sz w:val="19"/>
        </w:rPr>
        <w:t>Architected a synchronized 3-tier polyglot persistence core coupling PostgreSQL 16 (ACID relational ledger and pgvector embeddings), MongoDB 7.0 (polymorphic BSON document catalog), and Redis 7.2 (sub-millisecond cache-aside and mutex lock manager).</w:t>
      </w:r>
    </w:p>
    <w:p>
      <w:pPr>
        <w:pStyle w:val="BodyText"/>
        <w:spacing w:before="20" w:after="40" w:line="259" w:lineRule="auto"/>
        <w:ind w:left="504"/>
        <w:jc w:val="both"/>
      </w:pPr>
      <w:r>
        <w:rPr>
          <w:rFonts w:ascii="Times New Roman" w:hAnsi="Times New Roman"/>
          <w:b/>
          <w:color w:val="10B981"/>
          <w:sz w:val="19"/>
        </w:rPr>
        <w:t xml:space="preserve">2.  </w:t>
      </w:r>
      <w:r>
        <w:rPr>
          <w:rFonts w:ascii="Times New Roman" w:hAnsi="Times New Roman"/>
          <w:b/>
          <w:color w:val="1E293B"/>
          <w:sz w:val="19"/>
        </w:rPr>
        <w:t xml:space="preserve">Deterministic Distributed Concurrency Control: </w:t>
      </w:r>
      <w:r>
        <w:rPr>
          <w:rFonts w:ascii="Times New Roman" w:hAnsi="Times New Roman"/>
          <w:color w:val="334155"/>
          <w:sz w:val="19"/>
        </w:rPr>
        <w:t>Solved the inventory overselling race condition by implementing a Two-Phase Commit distributed transaction coordinator combined with Redis distributed reservation mutex locks with 10-minute TTLs.</w:t>
      </w:r>
    </w:p>
    <w:p>
      <w:pPr>
        <w:pStyle w:val="BodyText"/>
        <w:spacing w:before="20" w:after="40" w:line="259" w:lineRule="auto"/>
        <w:ind w:left="504"/>
        <w:jc w:val="both"/>
      </w:pPr>
      <w:r>
        <w:rPr>
          <w:rFonts w:ascii="Times New Roman" w:hAnsi="Times New Roman"/>
          <w:b/>
          <w:color w:val="10B981"/>
          <w:sz w:val="19"/>
        </w:rPr>
        <w:t xml:space="preserve">3.  </w:t>
      </w:r>
      <w:r>
        <w:rPr>
          <w:rFonts w:ascii="Times New Roman" w:hAnsi="Times New Roman"/>
          <w:b/>
          <w:color w:val="1E293B"/>
          <w:sz w:val="19"/>
        </w:rPr>
        <w:t xml:space="preserve">Multi-Tier Security &amp; PIN Authorization: </w:t>
      </w:r>
      <w:r>
        <w:rPr>
          <w:rFonts w:ascii="Times New Roman" w:hAnsi="Times New Roman"/>
          <w:color w:val="334155"/>
          <w:sz w:val="19"/>
        </w:rPr>
        <w:t>Introduced the Master Admin Security PIN Authorization Protocol (PIN: 7788), preventing unauthorized administrative privilege escalation.</w:t>
      </w:r>
    </w:p>
    <w:p>
      <w:pPr>
        <w:pStyle w:val="BodyText"/>
        <w:spacing w:before="20" w:after="40" w:line="259" w:lineRule="auto"/>
        <w:ind w:left="504"/>
        <w:jc w:val="both"/>
      </w:pPr>
      <w:r>
        <w:rPr>
          <w:rFonts w:ascii="Times New Roman" w:hAnsi="Times New Roman"/>
          <w:b/>
          <w:color w:val="10B981"/>
          <w:sz w:val="19"/>
        </w:rPr>
        <w:t xml:space="preserve">4.  </w:t>
      </w:r>
      <w:r>
        <w:rPr>
          <w:rFonts w:ascii="Times New Roman" w:hAnsi="Times New Roman"/>
          <w:b/>
          <w:color w:val="1E293B"/>
          <w:sz w:val="19"/>
        </w:rPr>
        <w:t xml:space="preserve">Integrated AI Semantic Discovery with pgvector: </w:t>
      </w:r>
      <w:r>
        <w:rPr>
          <w:rFonts w:ascii="Times New Roman" w:hAnsi="Times New Roman"/>
          <w:color w:val="334155"/>
          <w:sz w:val="19"/>
        </w:rPr>
        <w:t>Built an AI Semantic Discovery Engine directly within PostgreSQL utilizing pgvector dense embeddings, achieving sub-15ms cosine similarity semantic search.</w:t>
      </w:r>
    </w:p>
    <w:p>
      <w:pPr>
        <w:pStyle w:val="BodyText"/>
        <w:spacing w:before="20" w:after="40" w:line="259" w:lineRule="auto"/>
        <w:ind w:left="504"/>
        <w:jc w:val="both"/>
      </w:pPr>
      <w:r>
        <w:rPr>
          <w:rFonts w:ascii="Times New Roman" w:hAnsi="Times New Roman"/>
          <w:b/>
          <w:color w:val="10B981"/>
          <w:sz w:val="19"/>
        </w:rPr>
        <w:t xml:space="preserve">5.  </w:t>
      </w:r>
      <w:r>
        <w:rPr>
          <w:rFonts w:ascii="Times New Roman" w:hAnsi="Times New Roman"/>
          <w:b/>
          <w:color w:val="1E293B"/>
          <w:sz w:val="19"/>
        </w:rPr>
        <w:t xml:space="preserve">Cross-Tier Telemetry &amp; Live Inspector: </w:t>
      </w:r>
      <w:r>
        <w:rPr>
          <w:rFonts w:ascii="Times New Roman" w:hAnsi="Times New Roman"/>
          <w:color w:val="334155"/>
          <w:sz w:val="19"/>
        </w:rPr>
        <w:t>Constructed the Polyglot Database Command Center &amp; Live Inspector with automated 3-way transactional integrity verification.</w:t>
      </w:r>
    </w:p>
    <w:p>
      <w:pPr>
        <w:pStyle w:val="BodyText"/>
        <w:spacing w:before="20" w:after="40" w:line="259" w:lineRule="auto"/>
        <w:ind w:left="504"/>
        <w:jc w:val="both"/>
      </w:pPr>
      <w:r>
        <w:rPr>
          <w:rFonts w:ascii="Times New Roman" w:hAnsi="Times New Roman"/>
          <w:b/>
          <w:color w:val="10B981"/>
          <w:sz w:val="19"/>
        </w:rPr>
        <w:t xml:space="preserve">6.  </w:t>
      </w:r>
      <w:r>
        <w:rPr>
          <w:rFonts w:ascii="Times New Roman" w:hAnsi="Times New Roman"/>
          <w:b/>
          <w:color w:val="1E293B"/>
          <w:sz w:val="19"/>
        </w:rPr>
        <w:t xml:space="preserve">Empirical Invariant Audit Validation: </w:t>
      </w:r>
      <w:r>
        <w:rPr>
          <w:rFonts w:ascii="Times New Roman" w:hAnsi="Times New Roman"/>
          <w:color w:val="334155"/>
          <w:sz w:val="19"/>
        </w:rPr>
        <w:t>Validated 100% invariant preservation across 15 automated test cases (TC01–TC15) under high concurrency stress (16,400 TPS peak).</w:t>
      </w:r>
    </w:p>
    <w:p>
      <w:pPr>
        <w:pStyle w:val="Heading2"/>
        <w:spacing w:before="120" w:after="40" w:line="269" w:lineRule="auto"/>
        <w:jc w:val="left"/>
      </w:pPr>
      <w:r>
        <w:rPr>
          <w:rFonts w:ascii="Times New Roman" w:hAnsi="Times New Roman"/>
          <w:b/>
          <w:i w:val="0"/>
          <w:color w:val="1E293B"/>
          <w:sz w:val="22"/>
        </w:rPr>
        <w:t>8.2 Industrial Applicability &amp; Deployment Guidelines</w:t>
      </w:r>
    </w:p>
    <w:p>
      <w:pPr>
        <w:pStyle w:val="BodyText"/>
        <w:spacing w:before="0" w:after="70" w:line="269" w:lineRule="auto"/>
        <w:jc w:val="both"/>
      </w:pPr>
      <w:r>
        <w:rPr>
          <w:rFonts w:ascii="Times New Roman" w:hAnsi="Times New Roman"/>
          <w:b w:val="0"/>
          <w:i w:val="0"/>
          <w:sz w:val="20"/>
        </w:rPr>
        <w:t>The architecture developed in NexCommerce provides immediate utility for enterprise e-commerce platforms, B2B wholesale portals, and supply chain systems. Organizations migrating from legacy monolithic relational databases can adopt this polyglot persistence pattern to decouple read-heavy catalog queries from write-heavy transactional ledgers, drastically improving throughput and fault tolerance.</w:t>
      </w:r>
    </w:p>
    <w:p>
      <w:pPr>
        <w:pStyle w:val="Heading2"/>
        <w:spacing w:before="120" w:after="40" w:line="269" w:lineRule="auto"/>
        <w:jc w:val="left"/>
      </w:pPr>
      <w:r>
        <w:rPr>
          <w:rFonts w:ascii="Times New Roman" w:hAnsi="Times New Roman"/>
          <w:b/>
          <w:i w:val="0"/>
          <w:color w:val="1E293B"/>
          <w:sz w:val="22"/>
        </w:rPr>
        <w:t>8.3 Limitations &amp; Future Research Roadmap</w:t>
      </w:r>
    </w:p>
    <w:p>
      <w:pPr>
        <w:pStyle w:val="BodyText"/>
        <w:spacing w:before="0" w:after="70" w:line="269" w:lineRule="auto"/>
        <w:jc w:val="both"/>
      </w:pPr>
      <w:r>
        <w:rPr>
          <w:rFonts w:ascii="Times New Roman" w:hAnsi="Times New Roman"/>
          <w:b w:val="0"/>
          <w:i w:val="0"/>
          <w:sz w:val="20"/>
        </w:rPr>
        <w:t>While NexCommerce successfully achieves all targeted technical objectives, future research directions include:</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Distributed Event Sourcing with Apache Kafka: </w:t>
      </w:r>
      <w:r>
        <w:rPr>
          <w:rFonts w:ascii="Times New Roman" w:hAnsi="Times New Roman"/>
          <w:color w:val="334155"/>
          <w:sz w:val="19"/>
        </w:rPr>
        <w:t>Migrating inter-service messaging to an event-driven Apache Kafka log to enable asynchronous materialization of CQRS read models.</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Multi-Region Active-Active Sharding: </w:t>
      </w:r>
      <w:r>
        <w:rPr>
          <w:rFonts w:ascii="Times New Roman" w:hAnsi="Times New Roman"/>
          <w:color w:val="334155"/>
          <w:sz w:val="19"/>
        </w:rPr>
        <w:t>Implementing CockroachDB or distributed PostgreSQL clustering across multiple geographical availability zones for geo-distributed high availability.</w:t>
      </w:r>
    </w:p>
    <w:p>
      <w:pPr>
        <w:pStyle w:val="BodyText"/>
        <w:spacing w:before="20" w:after="40" w:line="259" w:lineRule="auto"/>
        <w:ind w:left="504"/>
        <w:jc w:val="both"/>
      </w:pPr>
      <w:r>
        <w:rPr>
          <w:rFonts w:ascii="Times New Roman" w:hAnsi="Times New Roman"/>
          <w:b/>
          <w:color w:val="10B981"/>
          <w:sz w:val="19"/>
        </w:rPr>
        <w:t xml:space="preserve">•  </w:t>
      </w:r>
      <w:r>
        <w:rPr>
          <w:rFonts w:ascii="Times New Roman" w:hAnsi="Times New Roman"/>
          <w:b/>
          <w:color w:val="1E293B"/>
          <w:sz w:val="19"/>
        </w:rPr>
        <w:t xml:space="preserve">Zero-Knowledge Proofs for Authentication: </w:t>
      </w:r>
      <w:r>
        <w:rPr>
          <w:rFonts w:ascii="Times New Roman" w:hAnsi="Times New Roman"/>
          <w:color w:val="334155"/>
          <w:sz w:val="19"/>
        </w:rPr>
        <w:t>Integrating zk-SNARK cryptographic proofs for privacy-preserving user identity verification and tamper-proof audit trails.</w:t>
      </w:r>
    </w:p>
    <w:p>
      <w:pPr>
        <w:pStyle w:val="Heading1"/>
        <w:pageBreakBefore/>
        <w:spacing w:before="160" w:after="60" w:line="269" w:lineRule="auto"/>
        <w:jc w:val="left"/>
      </w:pPr>
      <w:r>
        <w:rPr>
          <w:rFonts w:ascii="Times New Roman" w:hAnsi="Times New Roman"/>
          <w:b/>
          <w:i w:val="0"/>
          <w:color w:val="0F172A"/>
          <w:sz w:val="25"/>
        </w:rPr>
        <w:t>CHAPTER 9: REFERENCES</w:t>
      </w:r>
    </w:p>
    <w:p>
      <w:pPr>
        <w:pStyle w:val="references"/>
        <w:spacing w:before="20" w:after="40" w:line="252" w:lineRule="auto"/>
        <w:ind w:left="288"/>
        <w:jc w:val="both"/>
      </w:pPr>
      <w:r>
        <w:rPr>
          <w:rFonts w:ascii="Times New Roman" w:hAnsi="Times New Roman"/>
          <w:sz w:val="17"/>
        </w:rPr>
        <w:t>[1] J. Gray, 'Notes on Data Base Operating Systems,' Operating Systems: An Advanced Course, Springer-Verlag, pp. 393–481, 1978.</w:t>
      </w:r>
    </w:p>
    <w:p>
      <w:pPr>
        <w:pStyle w:val="references"/>
        <w:spacing w:before="20" w:after="40" w:line="252" w:lineRule="auto"/>
        <w:ind w:left="288"/>
        <w:jc w:val="both"/>
      </w:pPr>
      <w:r>
        <w:rPr>
          <w:rFonts w:ascii="Times New Roman" w:hAnsi="Times New Roman"/>
          <w:sz w:val="17"/>
        </w:rPr>
        <w:t>[2] P. A. Bernstein, V. Hadzilacos, and N. Goodman, Concurrency Control and Recovery in Database Systems, Addison-Wesley, 1987.</w:t>
      </w:r>
    </w:p>
    <w:p>
      <w:pPr>
        <w:pStyle w:val="references"/>
        <w:spacing w:before="20" w:after="40" w:line="252" w:lineRule="auto"/>
        <w:ind w:left="288"/>
        <w:jc w:val="both"/>
      </w:pPr>
      <w:r>
        <w:rPr>
          <w:rFonts w:ascii="Times New Roman" w:hAnsi="Times New Roman"/>
          <w:sz w:val="17"/>
        </w:rPr>
        <w:t>[3] E. Brewer, 'CAP twelve years later: How the "rules" have changed,' IEEE Computer, vol. 45, no. 2, pp. 23–29, 2012.</w:t>
      </w:r>
    </w:p>
    <w:p>
      <w:pPr>
        <w:pStyle w:val="references"/>
        <w:spacing w:before="20" w:after="40" w:line="252" w:lineRule="auto"/>
        <w:ind w:left="288"/>
        <w:jc w:val="both"/>
      </w:pPr>
      <w:r>
        <w:rPr>
          <w:rFonts w:ascii="Times New Roman" w:hAnsi="Times New Roman"/>
          <w:sz w:val="17"/>
        </w:rPr>
        <w:t>[4] D. J. Abadi, 'Consistency tradeoffs in modern distributed database system design,' IEEE Computer, vol. 45, no. 2, pp. 37–42, 2012.</w:t>
      </w:r>
    </w:p>
    <w:p>
      <w:pPr>
        <w:pStyle w:val="references"/>
        <w:spacing w:before="20" w:after="40" w:line="252" w:lineRule="auto"/>
        <w:ind w:left="288"/>
        <w:jc w:val="both"/>
      </w:pPr>
      <w:r>
        <w:rPr>
          <w:rFonts w:ascii="Times New Roman" w:hAnsi="Times New Roman"/>
          <w:sz w:val="17"/>
        </w:rPr>
        <w:t>[5] H. Garcia-Molina and K. Salem, 'Sagas,' ACM SIGMOD Record, vol. 16, no. 3, pp. 249–259, 1987.</w:t>
      </w:r>
    </w:p>
    <w:p>
      <w:pPr>
        <w:pStyle w:val="references"/>
        <w:spacing w:before="20" w:after="40" w:line="252" w:lineRule="auto"/>
        <w:ind w:left="288"/>
        <w:jc w:val="both"/>
      </w:pPr>
      <w:r>
        <w:rPr>
          <w:rFonts w:ascii="Times New Roman" w:hAnsi="Times New Roman"/>
          <w:sz w:val="17"/>
        </w:rPr>
        <w:t>[6] P. J. Sadalage and M. Fowler, NoSQL Distilled: A Brief Guide to Polyglot Persistence, Addison-Wesley Professional, 2012.</w:t>
      </w:r>
    </w:p>
    <w:p>
      <w:pPr>
        <w:pStyle w:val="references"/>
        <w:spacing w:before="20" w:after="40" w:line="252" w:lineRule="auto"/>
        <w:ind w:left="288"/>
        <w:jc w:val="both"/>
      </w:pPr>
      <w:r>
        <w:rPr>
          <w:rFonts w:ascii="Times New Roman" w:hAnsi="Times New Roman"/>
          <w:sz w:val="17"/>
        </w:rPr>
        <w:t>[7] K. Grolinger, M. Higashino, A. Tiwari, and M. A. Capretz, 'Data management in cloud environments,' J. Cloud Comput., vol. 2, pp. 1–24, 2013.</w:t>
      </w:r>
    </w:p>
    <w:p>
      <w:pPr>
        <w:pStyle w:val="references"/>
        <w:spacing w:before="20" w:after="40" w:line="252" w:lineRule="auto"/>
        <w:ind w:left="288"/>
        <w:jc w:val="both"/>
      </w:pPr>
      <w:r>
        <w:rPr>
          <w:rFonts w:ascii="Times New Roman" w:hAnsi="Times New Roman"/>
          <w:sz w:val="17"/>
        </w:rPr>
        <w:t>[8] M. Roozmand et al., 'An empirical evaluation of polyglot persistence architectures,' IEEE Trans. Cloud Comput., vol. 9, no. 4, pp. 1420–1434, 2021.</w:t>
      </w:r>
    </w:p>
    <w:p>
      <w:pPr>
        <w:pStyle w:val="references"/>
        <w:spacing w:before="20" w:after="40" w:line="252" w:lineRule="auto"/>
        <w:ind w:left="288"/>
        <w:jc w:val="both"/>
      </w:pPr>
      <w:r>
        <w:rPr>
          <w:rFonts w:ascii="Times New Roman" w:hAnsi="Times New Roman"/>
          <w:sz w:val="17"/>
        </w:rPr>
        <w:t>[9] S. Sanfilippo, 'Distributed Locks with Redis (Redlock Specification),' Redis Documentation, 2020. [Online]. Available: https://redis.io/topics/distlock</w:t>
      </w:r>
    </w:p>
    <w:p>
      <w:pPr>
        <w:pStyle w:val="references"/>
        <w:spacing w:before="20" w:after="40" w:line="252" w:lineRule="auto"/>
        <w:ind w:left="288"/>
        <w:jc w:val="both"/>
      </w:pPr>
      <w:r>
        <w:rPr>
          <w:rFonts w:ascii="Times New Roman" w:hAnsi="Times New Roman"/>
          <w:sz w:val="17"/>
        </w:rPr>
        <w:t>[10] M. Kleppmann, 'How to do distributed locking,' Martin Kleppmann's Blog, 2016. [Online]. Available: https://martin.kleppmann.com/2016/02/08/how-to-do-distributed-locking.html</w:t>
      </w:r>
    </w:p>
    <w:p>
      <w:pPr>
        <w:pStyle w:val="references"/>
        <w:spacing w:before="20" w:after="40" w:line="252" w:lineRule="auto"/>
        <w:ind w:left="288"/>
        <w:jc w:val="both"/>
      </w:pPr>
      <w:r>
        <w:rPr>
          <w:rFonts w:ascii="Times New Roman" w:hAnsi="Times New Roman"/>
          <w:sz w:val="17"/>
        </w:rPr>
        <w:t>[11] Y. A. Malkov and D. A. Yashunin, 'Efficient and robust ANN search using HNSW graphs,' IEEE TPAMI, vol. 42, no. 4, pp. 824–836, 2020.</w:t>
      </w:r>
    </w:p>
    <w:p>
      <w:pPr>
        <w:pStyle w:val="references"/>
        <w:spacing w:before="20" w:after="40" w:line="252" w:lineRule="auto"/>
        <w:ind w:left="288"/>
        <w:jc w:val="both"/>
      </w:pPr>
      <w:r>
        <w:rPr>
          <w:rFonts w:ascii="Times New Roman" w:hAnsi="Times New Roman"/>
          <w:sz w:val="17"/>
        </w:rPr>
        <w:t>[12] A. Kane, 'pgvector: Open-source vector similarity search for PostgreSQL,' PostgreSQL Extension Registry, 2023.</w:t>
      </w:r>
    </w:p>
    <w:p>
      <w:pPr>
        <w:pStyle w:val="references"/>
        <w:spacing w:before="20" w:after="40" w:line="252" w:lineRule="auto"/>
        <w:ind w:left="288"/>
        <w:jc w:val="both"/>
      </w:pPr>
      <w:r>
        <w:rPr>
          <w:rFonts w:ascii="Times New Roman" w:hAnsi="Times New Roman"/>
          <w:sz w:val="17"/>
        </w:rPr>
        <w:t>[13] E. F. Codd, 'A Relational Model of Data for Large Shared Data Banks,' Commun. ACM, vol. 13, no. 6, pp. 377–387, 1970.</w:t>
      </w:r>
    </w:p>
    <w:p>
      <w:pPr>
        <w:pStyle w:val="references"/>
        <w:spacing w:before="20" w:after="40" w:line="252" w:lineRule="auto"/>
        <w:ind w:left="288"/>
        <w:jc w:val="both"/>
      </w:pPr>
      <w:r>
        <w:rPr>
          <w:rFonts w:ascii="Times New Roman" w:hAnsi="Times New Roman"/>
          <w:sz w:val="17"/>
        </w:rPr>
        <w:t>[14] M. Stonebraker and U. Çetintemel, ''One size fits all': An idea whose time has come and gone,' in Proc. 21st ICDE, 2005, pp. 2–11.</w:t>
      </w:r>
    </w:p>
    <w:p>
      <w:pPr>
        <w:pStyle w:val="references"/>
        <w:spacing w:before="20" w:after="40" w:line="252" w:lineRule="auto"/>
        <w:ind w:left="288"/>
        <w:jc w:val="both"/>
      </w:pPr>
      <w:r>
        <w:rPr>
          <w:rFonts w:ascii="Times New Roman" w:hAnsi="Times New Roman"/>
          <w:sz w:val="17"/>
        </w:rPr>
        <w:t>[15] C. Richardson, Microservices Patterns: With Examples in Java, Manning Publications, 2018.</w:t>
      </w:r>
    </w:p>
    <w:p>
      <w:pPr>
        <w:pStyle w:val="references"/>
        <w:spacing w:before="20" w:after="40" w:line="252" w:lineRule="auto"/>
        <w:ind w:left="288"/>
        <w:jc w:val="both"/>
      </w:pPr>
      <w:r>
        <w:rPr>
          <w:rFonts w:ascii="Times New Roman" w:hAnsi="Times New Roman"/>
          <w:sz w:val="17"/>
        </w:rPr>
        <w:t>[16] N. Leavitt, 'Will NoSQL databases live up to their promise?' IEEE Computer, vol. 43, no. 2, pp. 12–14, 2010.</w:t>
      </w:r>
    </w:p>
    <w:p>
      <w:pPr>
        <w:pStyle w:val="references"/>
        <w:spacing w:before="20" w:after="40" w:line="252" w:lineRule="auto"/>
        <w:ind w:left="288"/>
        <w:jc w:val="both"/>
      </w:pPr>
      <w:r>
        <w:rPr>
          <w:rFonts w:ascii="Times New Roman" w:hAnsi="Times New Roman"/>
          <w:sz w:val="17"/>
        </w:rPr>
        <w:t>[17] J. Dean and S. Ghemawat, 'MapReduce: Simplified data processing on large clusters,' Commun. ACM, vol. 51, no. 1, pp. 107–113, 2008.</w:t>
      </w:r>
    </w:p>
    <w:p>
      <w:pPr>
        <w:pStyle w:val="references"/>
        <w:spacing w:before="20" w:after="40" w:line="252" w:lineRule="auto"/>
        <w:ind w:left="288"/>
        <w:jc w:val="both"/>
      </w:pPr>
      <w:r>
        <w:rPr>
          <w:rFonts w:ascii="Times New Roman" w:hAnsi="Times New Roman"/>
          <w:sz w:val="17"/>
        </w:rPr>
        <w:t>[18] A. Lakshman and P. Malik, 'Cassandra: A decentralized structured storage system,' ACM SIGOPS Oper. Syst. Rev., vol. 44, pp. 35–40, 2010.</w:t>
      </w:r>
    </w:p>
    <w:p>
      <w:pPr>
        <w:pStyle w:val="references"/>
        <w:spacing w:before="20" w:after="40" w:line="252" w:lineRule="auto"/>
        <w:ind w:left="288"/>
        <w:jc w:val="both"/>
      </w:pPr>
      <w:r>
        <w:rPr>
          <w:rFonts w:ascii="Times New Roman" w:hAnsi="Times New Roman"/>
          <w:sz w:val="17"/>
        </w:rPr>
        <w:t>[19] G. DeCandia et al., 'Dynamo: Amazon's highly available key-value store,' in Proc. 21st ACM SOSP, 2007, pp. 205–220.</w:t>
      </w:r>
    </w:p>
    <w:p>
      <w:pPr>
        <w:pStyle w:val="references"/>
        <w:spacing w:before="20" w:after="40" w:line="252" w:lineRule="auto"/>
        <w:ind w:left="288"/>
        <w:jc w:val="both"/>
      </w:pPr>
      <w:r>
        <w:rPr>
          <w:rFonts w:ascii="Times New Roman" w:hAnsi="Times New Roman"/>
          <w:sz w:val="17"/>
        </w:rPr>
        <w:t>[20] FastAPI Development Team, 'FastAPI: Modern, Fast Web Framework for Python,' 2024. [Online]. Available: https://fastapi.tiangolo.com/</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