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284C7"/>
          <w:sz w:val="52"/>
        </w:rPr>
        <w:t>Transformer Internals + Prompt Anatomy</w:t>
      </w:r>
    </w:p>
    <w:p>
      <w:pPr>
        <w:jc w:val="center"/>
      </w:pPr>
      <w:r>
        <w:rPr>
          <w:rFonts w:ascii="Calibri" w:hAnsi="Calibri"/>
          <w:i/>
          <w:color w:val="64748B"/>
          <w:sz w:val="26"/>
        </w:rPr>
        <w:t>Teaching Guide — Agentic AI Focus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284C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Level</w:t>
            </w:r>
          </w:p>
        </w:tc>
        <w:tc>
          <w:tcPr>
            <w:tcW w:type="dxa" w:w="3120"/>
            <w:shd w:fill="0284C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Lesson</w:t>
            </w:r>
          </w:p>
        </w:tc>
        <w:tc>
          <w:tcPr>
            <w:tcW w:type="dxa" w:w="3120"/>
            <w:shd w:fill="0284C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Focus</w:t>
            </w:r>
          </w:p>
        </w:tc>
      </w:tr>
      <w:tr>
        <w:tc>
          <w:tcPr>
            <w:tcW w:type="dxa" w:w="3120"/>
            <w:shd w:fill="E0F2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Beginner</w:t>
            </w:r>
          </w:p>
        </w:tc>
        <w:tc>
          <w:tcPr>
            <w:tcW w:type="dxa" w:w="3120"/>
            <w:shd w:fill="E0F2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L1: Build Attention From Scratch</w:t>
            </w:r>
          </w:p>
        </w:tc>
        <w:tc>
          <w:tcPr>
            <w:tcW w:type="dxa" w:w="3120"/>
            <w:shd w:fill="E0F2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NumPy → Q,K,V → real API comparison</w:t>
            </w:r>
          </w:p>
        </w:tc>
      </w:tr>
      <w:tr>
        <w:tc>
          <w:tcPr>
            <w:tcW w:type="dxa" w:w="3120"/>
            <w:shd w:fill="E0F2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Beginner</w:t>
            </w:r>
          </w:p>
        </w:tc>
        <w:tc>
          <w:tcPr>
            <w:tcW w:type="dxa" w:w="3120"/>
            <w:shd w:fill="E0F2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L2: 5-Variant Prompt Harness</w:t>
            </w:r>
          </w:p>
        </w:tc>
        <w:tc>
          <w:tcPr>
            <w:tcW w:type="dxa" w:w="3120"/>
            <w:shd w:fill="E0F2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Live evaluation + scoring leaderboard</w:t>
            </w:r>
          </w:p>
        </w:tc>
      </w:tr>
      <w:tr>
        <w:tc>
          <w:tcPr>
            <w:tcW w:type="dxa" w:w="3120"/>
            <w:shd w:fill="EDE9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Intermediate</w:t>
            </w:r>
          </w:p>
        </w:tc>
        <w:tc>
          <w:tcPr>
            <w:tcW w:type="dxa" w:w="3120"/>
            <w:shd w:fill="EDE9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L3: Agentic Tool-Calling Loop</w:t>
            </w:r>
          </w:p>
        </w:tc>
        <w:tc>
          <w:tcPr>
            <w:tcW w:type="dxa" w:w="3120"/>
            <w:shd w:fill="EDE9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Native Gemini function calling + dispatch</w:t>
            </w:r>
          </w:p>
        </w:tc>
      </w:tr>
      <w:tr>
        <w:tc>
          <w:tcPr>
            <w:tcW w:type="dxa" w:w="3120"/>
            <w:shd w:fill="EDE9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Intermediate</w:t>
            </w:r>
          </w:p>
        </w:tc>
        <w:tc>
          <w:tcPr>
            <w:tcW w:type="dxa" w:w="3120"/>
            <w:shd w:fill="EDE9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L4: Position Ablation Study</w:t>
            </w:r>
          </w:p>
        </w:tc>
        <w:tc>
          <w:tcPr>
            <w:tcW w:type="dxa" w:w="3120"/>
            <w:shd w:fill="EDE9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Lost-in-the-Middle experiment + metrics table</w:t>
            </w:r>
          </w:p>
        </w:tc>
      </w:tr>
      <w:tr>
        <w:tc>
          <w:tcPr>
            <w:tcW w:type="dxa" w:w="3120"/>
            <w:shd w:fill="EDE9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Intermediate</w:t>
            </w:r>
          </w:p>
        </w:tc>
        <w:tc>
          <w:tcPr>
            <w:tcW w:type="dxa" w:w="3120"/>
            <w:shd w:fill="EDE9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L7: JSON Prompting Mastery</w:t>
            </w:r>
          </w:p>
        </w:tc>
        <w:tc>
          <w:tcPr>
            <w:tcW w:type="dxa" w:w="3120"/>
            <w:shd w:fill="EDE9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5 techniques, schema validation, auto-repair loop</w:t>
            </w:r>
          </w:p>
        </w:tc>
      </w:tr>
      <w:tr>
        <w:tc>
          <w:tcPr>
            <w:tcW w:type="dxa" w:w="3120"/>
            <w:shd w:fill="DCFCE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Advanced</w:t>
            </w:r>
          </w:p>
        </w:tc>
        <w:tc>
          <w:tcPr>
            <w:tcW w:type="dxa" w:w="3120"/>
            <w:shd w:fill="DCFCE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L5: Multi-Agent Pipeline</w:t>
            </w:r>
          </w:p>
        </w:tc>
        <w:tc>
          <w:tcPr>
            <w:tcW w:type="dxa" w:w="3120"/>
            <w:shd w:fill="DCFCE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Planner → Executor → Critic (3 agents)</w:t>
            </w:r>
          </w:p>
        </w:tc>
      </w:tr>
      <w:tr>
        <w:tc>
          <w:tcPr>
            <w:tcW w:type="dxa" w:w="3120"/>
            <w:shd w:fill="DCFCE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Advanced</w:t>
            </w:r>
          </w:p>
        </w:tc>
        <w:tc>
          <w:tcPr>
            <w:tcW w:type="dxa" w:w="3120"/>
            <w:shd w:fill="DCFCE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L6: Attention Visualisation</w:t>
            </w:r>
          </w:p>
        </w:tc>
        <w:tc>
          <w:tcPr>
            <w:tcW w:type="dxa" w:w="3120"/>
            <w:shd w:fill="DCFCE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GPT-2 attention heatmaps, entropy metrics</w:t>
            </w:r>
          </w:p>
        </w:tc>
      </w:tr>
      <w:tr>
        <w:tc>
          <w:tcPr>
            <w:tcW w:type="dxa" w:w="3120"/>
            <w:shd w:fill="F1F5F9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All</w:t>
            </w:r>
          </w:p>
        </w:tc>
        <w:tc>
          <w:tcPr>
            <w:tcW w:type="dxa" w:w="3120"/>
            <w:shd w:fill="F1F5F9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Coding Challenges</w:t>
            </w:r>
          </w:p>
        </w:tc>
        <w:tc>
          <w:tcPr>
            <w:tcW w:type="dxa" w:w="3120"/>
            <w:shd w:fill="F1F5F9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 extensions per lesson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284C7"/>
          <w:sz w:val="32"/>
        </w:rPr>
        <w:t>1. Transformer Internals — Core Concepts</w:t>
      </w:r>
    </w:p>
    <w:p>
      <w:pPr>
        <w:spacing w:after="40"/>
      </w:pPr>
      <w:r>
        <w:rPr>
          <w:color w:val="BAE6F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6366F1"/>
          <w:sz w:val="26"/>
        </w:rPr>
        <w:t>1.1  Scaled Dot-Product Attention</w:t>
      </w:r>
    </w:p>
    <w:p>
      <w:pPr>
        <w:spacing w:after="80"/>
      </w:pPr>
      <w:r>
        <w:rPr>
          <w:rFonts w:ascii="Calibri" w:hAnsi="Calibri"/>
          <w:sz w:val="22"/>
        </w:rPr>
        <w:t>The fundamental computation in every transformer layer:</w:t>
      </w:r>
    </w:p>
    <w:p>
      <w:pPr>
        <w:spacing w:after="120"/>
        <w:ind w:left="576"/>
        <w:shd w:fill="F8FAFC" w:val="clear"/>
      </w:pPr>
      <w:r>
        <w:rPr>
          <w:rFonts w:ascii="Courier New" w:hAnsi="Courier New"/>
          <w:color w:val="B45309"/>
          <w:sz w:val="18"/>
        </w:rPr>
        <w:t>Attention(Q, K, V)  =  softmax( Q·Kᵀ / √dₖ )  ·  V</w:t>
      </w:r>
    </w:p>
    <w:p>
      <w:pPr>
        <w:spacing w:after="80"/>
      </w:pPr>
      <w:r>
        <w:rPr>
          <w:rFonts w:ascii="Calibri" w:hAnsi="Calibri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Symbol</w:t>
            </w:r>
          </w:p>
        </w:tc>
        <w:tc>
          <w:tcPr>
            <w:tcW w:type="dxa" w:w="4680"/>
            <w:shd w:fill="1E293B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Role &amp; Prompt Engineering Implication</w:t>
            </w:r>
          </w:p>
        </w:tc>
      </w:tr>
      <w:tr>
        <w:tc>
          <w:tcPr>
            <w:tcW w:type="dxa" w:w="4680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284C7"/>
                <w:sz w:val="20"/>
              </w:rPr>
              <w:t>Q  (Query)</w:t>
            </w:r>
          </w:p>
        </w:tc>
        <w:tc>
          <w:tcPr>
            <w:tcW w:type="dxa" w:w="4680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What the model is 'searching for'. When generating a JSON key, Q searches back for relevant schema tokens.</w:t>
            </w:r>
          </w:p>
        </w:tc>
      </w:tr>
      <w:tr>
        <w:tc>
          <w:tcPr>
            <w:tcW w:type="dxa" w:w="4680"/>
            <w:shd w:fill="F1F5F9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284C7"/>
                <w:sz w:val="20"/>
              </w:rPr>
              <w:t>K  (Key)</w:t>
            </w:r>
          </w:p>
        </w:tc>
        <w:tc>
          <w:tcPr>
            <w:tcW w:type="dxa" w:w="4680"/>
            <w:shd w:fill="F1F5F9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The 'index' of each token. Well-structured delimiters (&lt; &gt;, { }) produce distinctive K vectors that stand out.</w:t>
            </w:r>
          </w:p>
        </w:tc>
      </w:tr>
      <w:tr>
        <w:tc>
          <w:tcPr>
            <w:tcW w:type="dxa" w:w="4680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284C7"/>
                <w:sz w:val="20"/>
              </w:rPr>
              <w:t>V  (Value)</w:t>
            </w:r>
          </w:p>
        </w:tc>
        <w:tc>
          <w:tcPr>
            <w:tcW w:type="dxa" w:w="4680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The actual content copied to the output. Few-shot examples provide rich V vectors for induction heads to copy.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6366F1"/>
          <w:sz w:val="26"/>
        </w:rPr>
        <w:t>1.2  Multi-Head Attention</w:t>
      </w:r>
    </w:p>
    <w:p>
      <w:pPr>
        <w:spacing w:after="80"/>
      </w:pPr>
      <w:r>
        <w:rPr>
          <w:rFonts w:ascii="Calibri" w:hAnsi="Calibri"/>
          <w:sz w:val="22"/>
        </w:rPr>
        <w:t>Runs attention h times in parallel over sub-spaces of d_model. Each head captures a different relationship type: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Head 0–2: syntactic structure (subject, verb, object)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Head 3–5: semantic similarity and coreference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Head 6–9: positional / format patterns (JSON structure, XML tags)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Head 10+: long-range dependency (tool name ↔ parameter slot)</w:t>
      </w:r>
    </w:p>
    <w:p>
      <w:pPr>
        <w:spacing w:after="120"/>
        <w:ind w:left="576"/>
        <w:shd w:fill="F8FAFC" w:val="clear"/>
      </w:pPr>
      <w:r>
        <w:rPr>
          <w:rFonts w:ascii="Courier New" w:hAnsi="Courier New"/>
          <w:color w:val="B45309"/>
          <w:sz w:val="18"/>
        </w:rPr>
        <w:t>MultiHead(Q,K,V) = Concat(head₁, …, headₕ) · W_O</w:t>
        <w:br/>
        <w:t>head_i = Attention(Q·W_Qᵢ, K·W_Kᵢ, V·W_Vᵢ)</w:t>
      </w:r>
    </w:p>
    <w:p>
      <w:pPr>
        <w:spacing w:before="360" w:after="120"/>
      </w:pPr>
      <w:r>
        <w:rPr>
          <w:rFonts w:ascii="Calibri" w:hAnsi="Calibri"/>
          <w:b/>
          <w:color w:val="6366F1"/>
          <w:sz w:val="26"/>
        </w:rPr>
        <w:t>1.3  Induction Heads (Why Few-Shot Works)</w:t>
      </w:r>
    </w:p>
    <w:p>
      <w:pPr>
        <w:spacing w:after="80"/>
      </w:pPr>
      <w:r>
        <w:rPr>
          <w:rFonts w:ascii="Calibri" w:hAnsi="Calibri"/>
          <w:sz w:val="22"/>
        </w:rPr>
        <w:t>Induction heads are attention heads trained to find the pattern [A][B]…[A] → predict [B]. When you give few-shot examples:</w:t>
      </w:r>
    </w:p>
    <w:p>
      <w:pPr>
        <w:spacing w:after="120"/>
        <w:ind w:left="576"/>
        <w:shd w:fill="F8FAFC" w:val="clear"/>
      </w:pPr>
      <w:r>
        <w:rPr>
          <w:rFonts w:ascii="Courier New" w:hAnsi="Courier New"/>
          <w:color w:val="B45309"/>
          <w:sz w:val="18"/>
        </w:rPr>
        <w:t>User: Weather in London?</w:t>
        <w:br/>
        <w:t>Output: {"tool":"get_weather","location":"London"}</w:t>
        <w:br/>
        <w:t>User: Weather in Paris?        # model sees [London?]→[Output:] pattern</w:t>
        <w:br/>
        <w:t>Output: {"tool":"get_weather","location":"Paris"}  # induction head copies it</w:t>
      </w:r>
    </w:p>
    <w:p>
      <w:pPr>
        <w:spacing w:before="360" w:after="120"/>
      </w:pPr>
      <w:r>
        <w:rPr>
          <w:rFonts w:ascii="Calibri" w:hAnsi="Calibri"/>
          <w:b/>
          <w:color w:val="6366F1"/>
          <w:sz w:val="26"/>
        </w:rPr>
        <w:t>1.4  Positional Encoding</w:t>
      </w:r>
    </w:p>
    <w:p>
      <w:pPr>
        <w:spacing w:after="80"/>
      </w:pPr>
      <w:r>
        <w:rPr>
          <w:rFonts w:ascii="Calibri" w:hAnsi="Calibri"/>
          <w:sz w:val="22"/>
        </w:rPr>
        <w:t>Without position information, attention treats tokens as a bag-of-words. Positional encodings inject order. Implication for prompting: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Tokens at position 0 and position N-1 receive the highest positional signal.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This creates U-shaped recall (primacy + recency bias).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Place critical constraints at the END of the system prompt.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284C7"/>
          <w:sz w:val="32"/>
        </w:rPr>
        <w:t>2. Prompt Anatomy — 5 Structural Patterns</w:t>
      </w:r>
    </w:p>
    <w:p>
      <w:pPr>
        <w:spacing w:after="40"/>
      </w:pPr>
      <w:r>
        <w:rPr>
          <w:color w:val="BAE6F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338CA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2340"/>
            <w:shd w:fill="4338CA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340"/>
            <w:shd w:fill="4338CA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Attention Effect</w:t>
            </w:r>
          </w:p>
        </w:tc>
        <w:tc>
          <w:tcPr>
            <w:tcW w:type="dxa" w:w="2340"/>
            <w:shd w:fill="4338CA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Best Use</w:t>
            </w:r>
          </w:p>
        </w:tc>
      </w:tr>
      <w:tr>
        <w:tc>
          <w:tcPr>
            <w:tcW w:type="dxa" w:w="2340"/>
            <w:shd w:fill="E0F2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A. Barebones</w:t>
            </w:r>
          </w:p>
        </w:tc>
        <w:tc>
          <w:tcPr>
            <w:tcW w:type="dxa" w:w="2340"/>
            <w:shd w:fill="E0F2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"You are a tool-calling agent. Call get_weather when asked."</w:t>
            </w:r>
          </w:p>
        </w:tc>
        <w:tc>
          <w:tcPr>
            <w:tcW w:type="dxa" w:w="2340"/>
            <w:shd w:fill="E0F2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Low — no format anchor, model defaults to prose</w:t>
            </w:r>
          </w:p>
        </w:tc>
        <w:tc>
          <w:tcPr>
            <w:tcW w:type="dxa" w:w="2340"/>
            <w:shd w:fill="E0F2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Fast to write, quick demos only</w:t>
            </w:r>
          </w:p>
        </w:tc>
      </w:tr>
      <w:tr>
        <w:tc>
          <w:tcPr>
            <w:tcW w:type="dxa" w:w="2340"/>
            <w:shd w:fill="EDE9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B. Few-Shot</w:t>
            </w:r>
          </w:p>
        </w:tc>
        <w:tc>
          <w:tcPr>
            <w:tcW w:type="dxa" w:w="2340"/>
            <w:shd w:fill="EDE9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User: weather London? → {"tool":"get_weather","location":"London"}</w:t>
              <w:br/>
              <w:t>User: weather Paris? → ...</w:t>
            </w:r>
          </w:p>
        </w:tc>
        <w:tc>
          <w:tcPr>
            <w:tcW w:type="dxa" w:w="2340"/>
            <w:shd w:fill="EDE9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High — induction heads copy the example format exactly</w:t>
            </w:r>
          </w:p>
        </w:tc>
        <w:tc>
          <w:tcPr>
            <w:tcW w:type="dxa" w:w="2340"/>
            <w:shd w:fill="EDE9FE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Best for reliable JSON/structured output</w:t>
            </w:r>
          </w:p>
        </w:tc>
      </w:tr>
      <w:tr>
        <w:tc>
          <w:tcPr>
            <w:tcW w:type="dxa" w:w="2340"/>
            <w:shd w:fill="DCFCE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C. Chain-of-Thought</w:t>
            </w:r>
          </w:p>
        </w:tc>
        <w:tc>
          <w:tcPr>
            <w:tcW w:type="dxa" w:w="2340"/>
            <w:shd w:fill="DCFCE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Step 1: identify city. Step 2: identify unit. Step 3: output JSON only.</w:t>
            </w:r>
          </w:p>
        </w:tc>
        <w:tc>
          <w:tcPr>
            <w:tcW w:type="dxa" w:w="2340"/>
            <w:shd w:fill="DCFCE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Medium-High — scratchpad reduces hallucination</w:t>
            </w:r>
          </w:p>
        </w:tc>
        <w:tc>
          <w:tcPr>
            <w:tcW w:type="dxa" w:w="2340"/>
            <w:shd w:fill="DCFCE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Complex multi-step reasoning tasks</w:t>
            </w:r>
          </w:p>
        </w:tc>
      </w:tr>
      <w:tr>
        <w:tc>
          <w:tcPr>
            <w:tcW w:type="dxa" w:w="2340"/>
            <w:shd w:fill="FEF9C3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D. XML-Delimited</w:t>
            </w:r>
          </w:p>
        </w:tc>
        <w:tc>
          <w:tcPr>
            <w:tcW w:type="dxa" w:w="2340"/>
            <w:shd w:fill="FEF9C3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&lt;tool&gt;get_weather&lt;/tool&gt;&lt;param&gt;city&lt;/param&gt;</w:t>
            </w:r>
          </w:p>
        </w:tc>
        <w:tc>
          <w:tcPr>
            <w:tcW w:type="dxa" w:w="2340"/>
            <w:shd w:fill="FEF9C3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High — delimiters act as attention sinks for format heads</w:t>
            </w:r>
          </w:p>
        </w:tc>
        <w:tc>
          <w:tcPr>
            <w:tcW w:type="dxa" w:w="2340"/>
            <w:shd w:fill="FEF9C3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Structural APIs, agent frameworks</w:t>
            </w:r>
          </w:p>
        </w:tc>
      </w:tr>
      <w:tr>
        <w:tc>
          <w:tcPr>
            <w:tcW w:type="dxa" w:w="2340"/>
            <w:shd w:fill="FEE2E2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E. Diluted</w:t>
            </w:r>
          </w:p>
        </w:tc>
        <w:tc>
          <w:tcPr>
            <w:tcW w:type="dxa" w:w="2340"/>
            <w:shd w:fill="FEE2E2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Policy 1…Policy 2…[buried rule]…Policy 7…</w:t>
            </w:r>
          </w:p>
        </w:tc>
        <w:tc>
          <w:tcPr>
            <w:tcW w:type="dxa" w:w="2340"/>
            <w:shd w:fill="FEE2E2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Low — attention budget split across all policy tokens</w:t>
            </w:r>
          </w:p>
        </w:tc>
        <w:tc>
          <w:tcPr>
            <w:tcW w:type="dxa" w:w="2340"/>
            <w:shd w:fill="FEE2E2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Anti-pattern to teach / diagnose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6366F1"/>
          <w:sz w:val="26"/>
        </w:rPr>
        <w:t>2.1  Critical Prompt Design Rules</w:t>
      </w:r>
    </w:p>
    <w:p>
      <w:pPr>
        <w:pStyle w:val="ListBullet"/>
        <w:spacing w:after="60"/>
      </w:pPr>
      <w:r>
        <w:rPr>
          <w:b/>
          <w:color w:val="0284C7"/>
        </w:rPr>
        <w:t xml:space="preserve">Rule 1 — End Anchoring: </w:t>
      </w:r>
      <w:r>
        <w:rPr>
          <w:rFonts w:ascii="Calibri" w:hAnsi="Calibri"/>
          <w:sz w:val="22"/>
        </w:rPr>
        <w:t>Place the tool schema and format rule at the VERY END of the system prompt.</w:t>
      </w:r>
    </w:p>
    <w:p>
      <w:pPr>
        <w:pStyle w:val="ListBullet"/>
        <w:spacing w:after="60"/>
      </w:pPr>
      <w:r>
        <w:rPr>
          <w:b/>
          <w:color w:val="0284C7"/>
        </w:rPr>
        <w:t xml:space="preserve">Rule 2 — No Dilution: </w:t>
      </w:r>
      <w:r>
        <w:rPr>
          <w:rFonts w:ascii="Calibri" w:hAnsi="Calibri"/>
          <w:sz w:val="22"/>
        </w:rPr>
        <w:t>Remove any policy not directly relevant to the task. Each extra sentence steals attention budget.</w:t>
      </w:r>
    </w:p>
    <w:p>
      <w:pPr>
        <w:pStyle w:val="ListBullet"/>
        <w:spacing w:after="60"/>
      </w:pPr>
      <w:r>
        <w:rPr>
          <w:b/>
          <w:color w:val="0284C7"/>
        </w:rPr>
        <w:t xml:space="preserve">Rule 3 — Use Delimiters: </w:t>
      </w:r>
      <w:r>
        <w:rPr>
          <w:rFonts w:ascii="Calibri" w:hAnsi="Calibri"/>
          <w:sz w:val="22"/>
        </w:rPr>
        <w:t>XML tags, triple-backtick blocks, and JSON braces create strong attention anchors.</w:t>
      </w:r>
    </w:p>
    <w:p>
      <w:pPr>
        <w:pStyle w:val="ListBullet"/>
        <w:spacing w:after="60"/>
      </w:pPr>
      <w:r>
        <w:rPr>
          <w:b/>
          <w:color w:val="0284C7"/>
        </w:rPr>
        <w:t xml:space="preserve">Rule 4 — Add One Example: </w:t>
      </w:r>
      <w:r>
        <w:rPr>
          <w:rFonts w:ascii="Calibri" w:hAnsi="Calibri"/>
          <w:sz w:val="22"/>
        </w:rPr>
        <w:t>A single high-quality few-shot example often outperforms 5 paragraphs of instructions.</w:t>
      </w:r>
    </w:p>
    <w:p>
      <w:pPr>
        <w:pStyle w:val="ListBullet"/>
        <w:spacing w:after="60"/>
      </w:pPr>
      <w:r>
        <w:rPr>
          <w:b/>
          <w:color w:val="0284C7"/>
        </w:rPr>
        <w:t xml:space="preserve">Rule 5 — CoT for Complexity: </w:t>
      </w:r>
      <w:r>
        <w:rPr>
          <w:rFonts w:ascii="Calibri" w:hAnsi="Calibri"/>
          <w:sz w:val="22"/>
        </w:rPr>
        <w:t>Use 'think step-by-step' prefix when the model must extract multiple parameters or reason.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284C7"/>
          <w:sz w:val="32"/>
        </w:rPr>
        <w:t>3. Agentic AI — Core Loop Patterns</w:t>
      </w:r>
    </w:p>
    <w:p>
      <w:pPr>
        <w:spacing w:after="40"/>
      </w:pPr>
      <w:r>
        <w:rPr>
          <w:color w:val="BAE6F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6366F1"/>
          <w:sz w:val="26"/>
        </w:rPr>
        <w:t>3.1  Basic Tool-Call Loop</w:t>
      </w:r>
    </w:p>
    <w:p>
      <w:pPr>
        <w:spacing w:after="120"/>
        <w:ind w:left="576"/>
        <w:shd w:fill="F8FAFC" w:val="clear"/>
      </w:pPr>
      <w:r>
        <w:rPr>
          <w:rFonts w:ascii="Courier New" w:hAnsi="Courier New"/>
          <w:color w:val="B45309"/>
          <w:sz w:val="18"/>
        </w:rPr>
        <w:t>loop:</w:t>
        <w:br/>
        <w:t xml:space="preserve">  response = model.generate(history + tools)</w:t>
        <w:br/>
        <w:t xml:space="preserve">  if response.has_function_call:</w:t>
        <w:br/>
        <w:t xml:space="preserve">      result = execute_tool(response.function_call)</w:t>
        <w:br/>
        <w:t xml:space="preserve">      history.append(tool_result)</w:t>
        <w:br/>
        <w:t xml:space="preserve">  else:</w:t>
        <w:br/>
        <w:t xml:space="preserve">      return response.text   # final answer</w:t>
      </w:r>
    </w:p>
    <w:p>
      <w:pPr>
        <w:spacing w:before="360" w:after="120"/>
      </w:pPr>
      <w:r>
        <w:rPr>
          <w:rFonts w:ascii="Calibri" w:hAnsi="Calibri"/>
          <w:b/>
          <w:color w:val="6366F1"/>
          <w:sz w:val="26"/>
        </w:rPr>
        <w:t>3.2  Multi-Agent Pipeline (Lesson 5)</w:t>
      </w:r>
    </w:p>
    <w:p>
      <w:pPr>
        <w:spacing w:after="80"/>
      </w:pPr>
      <w:r>
        <w:rPr>
          <w:rFonts w:ascii="Calibri" w:hAnsi="Calibri"/>
          <w:sz w:val="22"/>
        </w:rPr>
        <w:t>Three-agent pattern — each agent has a different system prompt:</w:t>
      </w:r>
    </w:p>
    <w:p>
      <w:pPr>
        <w:pStyle w:val="ListBullet"/>
        <w:spacing w:after="60"/>
      </w:pPr>
      <w:r>
        <w:rPr>
          <w:b/>
          <w:color w:val="0284C7"/>
        </w:rPr>
        <w:t xml:space="preserve">PLANNER: </w:t>
      </w:r>
      <w:r>
        <w:rPr>
          <w:rFonts w:ascii="Calibri" w:hAnsi="Calibri"/>
          <w:sz w:val="22"/>
        </w:rPr>
        <w:t>Decomposes goal into tool call steps → outputs JSON plan</w:t>
      </w:r>
    </w:p>
    <w:p>
      <w:pPr>
        <w:pStyle w:val="ListBullet"/>
        <w:spacing w:after="60"/>
      </w:pPr>
      <w:r>
        <w:rPr>
          <w:b/>
          <w:color w:val="0284C7"/>
        </w:rPr>
        <w:t xml:space="preserve">EXECUTOR: </w:t>
      </w:r>
      <w:r>
        <w:rPr>
          <w:rFonts w:ascii="Calibri" w:hAnsi="Calibri"/>
          <w:sz w:val="22"/>
        </w:rPr>
        <w:t>Dispatches each step to Python functions → collects results</w:t>
      </w:r>
    </w:p>
    <w:p>
      <w:pPr>
        <w:pStyle w:val="ListBullet"/>
        <w:spacing w:after="60"/>
      </w:pPr>
      <w:r>
        <w:rPr>
          <w:b/>
          <w:color w:val="0284C7"/>
        </w:rPr>
        <w:t xml:space="preserve">CRITIC: </w:t>
      </w:r>
      <w:r>
        <w:rPr>
          <w:rFonts w:ascii="Calibri" w:hAnsi="Calibri"/>
          <w:sz w:val="22"/>
        </w:rPr>
        <w:t>Reviews trace, checks completeness, writes user-facing summary</w:t>
      </w:r>
    </w:p>
    <w:p>
      <w:pPr>
        <w:spacing w:before="360" w:after="120"/>
      </w:pPr>
      <w:r>
        <w:rPr>
          <w:rFonts w:ascii="Calibri" w:hAnsi="Calibri"/>
          <w:b/>
          <w:color w:val="6366F1"/>
          <w:sz w:val="26"/>
        </w:rPr>
        <w:t>3.3  Context Window Pressure</w:t>
      </w:r>
    </w:p>
    <w:p>
      <w:pPr>
        <w:spacing w:after="80"/>
      </w:pPr>
      <w:r>
        <w:rPr>
          <w:rFonts w:ascii="Calibri" w:hAnsi="Calibri"/>
          <w:sz w:val="22"/>
        </w:rPr>
        <w:t>Each tool result appended to history grows the context. Watch for: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Attention dilution: early task goal gets 'buried' under tool results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Fix: Re-state the original goal in the tool-result message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Fix: Summarise tool results before appending them to history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284C7"/>
          <w:sz w:val="32"/>
        </w:rPr>
        <w:t>4. JSON Prompting — Getting Reliable JSON from LLMs</w:t>
      </w:r>
    </w:p>
    <w:p>
      <w:pPr>
        <w:spacing w:after="40"/>
      </w:pPr>
      <w:r>
        <w:rPr>
          <w:color w:val="BAE6F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sz w:val="22"/>
        </w:rPr>
        <w:t>In agentic AI, JSON is the universal contract between the model and your code. Every tool call, structured extraction, and agent-to-agent message depends on valid, parseable JSON. LLMs are NOT guaranteed to produce it — this section shows why, and how to fix it.</w:t>
      </w:r>
    </w:p>
    <w:p>
      <w:pPr>
        <w:spacing w:before="360" w:after="120"/>
      </w:pPr>
      <w:r>
        <w:rPr>
          <w:rFonts w:ascii="Calibri" w:hAnsi="Calibri"/>
          <w:b/>
          <w:color w:val="6366F1"/>
          <w:sz w:val="26"/>
        </w:rPr>
        <w:t>4.1  Why JSON Breaks — 6 Common Failure Modes</w:t>
      </w:r>
    </w:p>
    <w:p>
      <w:pPr>
        <w:pStyle w:val="ListBullet"/>
        <w:spacing w:after="60"/>
      </w:pPr>
      <w:r>
        <w:rPr>
          <w:b/>
          <w:color w:val="0284C7"/>
        </w:rPr>
        <w:t xml:space="preserve">1. Trailing commas: </w:t>
      </w:r>
      <w:r>
        <w:rPr>
          <w:rFonts w:ascii="Calibri" w:hAnsi="Calibri"/>
          <w:sz w:val="22"/>
        </w:rPr>
        <w:t>{"a":1,"b":2,}   — common pattern in Python training data</w:t>
      </w:r>
    </w:p>
    <w:p>
      <w:pPr>
        <w:pStyle w:val="ListBullet"/>
        <w:spacing w:after="60"/>
      </w:pPr>
      <w:r>
        <w:rPr>
          <w:b/>
          <w:color w:val="0284C7"/>
        </w:rPr>
        <w:t xml:space="preserve">2. Single quotes: </w:t>
      </w:r>
      <w:r>
        <w:rPr>
          <w:rFonts w:ascii="Calibri" w:hAnsi="Calibri"/>
          <w:sz w:val="22"/>
        </w:rPr>
        <w:t>{‘key’: ‘val’}   — Python dict syntax leaking into output</w:t>
      </w:r>
    </w:p>
    <w:p>
      <w:pPr>
        <w:pStyle w:val="ListBullet"/>
        <w:spacing w:after="60"/>
      </w:pPr>
      <w:r>
        <w:rPr>
          <w:b/>
          <w:color w:val="0284C7"/>
        </w:rPr>
        <w:t xml:space="preserve">3. Prose wrapping: </w:t>
      </w:r>
      <w:r>
        <w:rPr>
          <w:rFonts w:ascii="Calibri" w:hAnsi="Calibri"/>
          <w:sz w:val="22"/>
        </w:rPr>
        <w:t>"Here is the JSON: {...}"  — conversational padding around output</w:t>
      </w:r>
    </w:p>
    <w:p>
      <w:pPr>
        <w:pStyle w:val="ListBullet"/>
        <w:spacing w:after="60"/>
      </w:pPr>
      <w:r>
        <w:rPr>
          <w:b/>
          <w:color w:val="0284C7"/>
        </w:rPr>
        <w:t xml:space="preserve">4. Markdown fencing: </w:t>
      </w:r>
      <w:r>
        <w:rPr>
          <w:rFonts w:ascii="Calibri" w:hAnsi="Calibri"/>
          <w:sz w:val="22"/>
        </w:rPr>
        <w:t>```json</w:t>
        <w:br/>
        <w:t>{...}</w:t>
        <w:br/>
        <w:t>```  — model formats for readability, not parsing</w:t>
      </w:r>
    </w:p>
    <w:p>
      <w:pPr>
        <w:pStyle w:val="ListBullet"/>
        <w:spacing w:after="60"/>
      </w:pPr>
      <w:r>
        <w:rPr>
          <w:b/>
          <w:color w:val="0284C7"/>
        </w:rPr>
        <w:t xml:space="preserve">5. Truncated output: </w:t>
      </w:r>
      <w:r>
        <w:rPr>
          <w:rFonts w:ascii="Calibri" w:hAnsi="Calibri"/>
          <w:sz w:val="22"/>
        </w:rPr>
        <w:t>{"key": "very long value...  — token limit hit mid-generation</w:t>
      </w:r>
    </w:p>
    <w:p>
      <w:pPr>
        <w:pStyle w:val="ListBullet"/>
        <w:spacing w:after="60"/>
      </w:pPr>
      <w:r>
        <w:rPr>
          <w:b/>
          <w:color w:val="0284C7"/>
        </w:rPr>
        <w:t xml:space="preserve">6. Mismatched braces: </w:t>
      </w:r>
      <w:r>
        <w:rPr>
          <w:rFonts w:ascii="Calibri" w:hAnsi="Calibri"/>
          <w:sz w:val="22"/>
        </w:rPr>
        <w:t>{"a": {"b": 1}  — missing closing brace from nested objects</w:t>
      </w:r>
    </w:p>
    <w:p/>
    <w:p>
      <w:pPr>
        <w:spacing w:before="360" w:after="120"/>
      </w:pPr>
      <w:r>
        <w:rPr>
          <w:rFonts w:ascii="Calibri" w:hAnsi="Calibri"/>
          <w:b/>
          <w:color w:val="6366F1"/>
          <w:sz w:val="26"/>
        </w:rPr>
        <w:t>4.2  JSON Extraction — 5-Strategy Fallback Chain</w:t>
      </w:r>
    </w:p>
    <w:p>
      <w:pPr>
        <w:spacing w:after="80"/>
      </w:pPr>
      <w:r>
        <w:rPr>
          <w:rFonts w:ascii="Calibri" w:hAnsi="Calibri"/>
          <w:sz w:val="22"/>
        </w:rPr>
        <w:t>Always attempt multiple extraction strategies in order of strictness:</w:t>
      </w:r>
    </w:p>
    <w:p>
      <w:pPr>
        <w:spacing w:after="120"/>
        <w:ind w:left="576"/>
        <w:shd w:fill="F8FAFC" w:val="clear"/>
      </w:pPr>
      <w:r>
        <w:rPr>
          <w:rFonts w:ascii="Courier New" w:hAnsi="Courier New"/>
          <w:color w:val="B45309"/>
          <w:sz w:val="18"/>
        </w:rPr>
        <w:t>def extract_json(text):</w:t>
        <w:br/>
        <w:t xml:space="preserve">    # 1. Strip markdown fences</w:t>
        <w:br/>
        <w:t xml:space="preserve">    text = re.sub(r'```json', '', text).strip()</w:t>
        <w:br/>
        <w:t xml:space="preserve">    # 2. Direct parse</w:t>
        <w:br/>
        <w:t xml:space="preserve">    try: return json.loads(text)</w:t>
        <w:br/>
        <w:t xml:space="preserve">    except: pass</w:t>
        <w:br/>
        <w:t xml:space="preserve">    # 3. Find first {...} block</w:t>
        <w:br/>
        <w:t xml:space="preserve">    m = re.search(r'(\{[\s\S]*\})', text)</w:t>
        <w:br/>
        <w:t xml:space="preserve">    if m: return json.loads(m.group(1))</w:t>
        <w:br/>
        <w:t xml:space="preserve">    # 4. Find first [...] block</w:t>
        <w:br/>
        <w:t xml:space="preserve">    m = re.search(r'(\[[\s\S]*\])', text)</w:t>
        <w:br/>
        <w:t xml:space="preserve">    if m: return json.loads(m.group(1))</w:t>
        <w:br/>
        <w:t xml:space="preserve">    # 5. Fix trailing commas</w:t>
        <w:br/>
        <w:t xml:space="preserve">    fixed = re.sub(r',\s*([\}\]])', r'\1', text)</w:t>
        <w:br/>
        <w:t xml:space="preserve">    return json.loads(fixed)</w:t>
      </w:r>
    </w:p>
    <w:p>
      <w:pPr>
        <w:spacing w:before="360" w:after="120"/>
      </w:pPr>
      <w:r>
        <w:rPr>
          <w:rFonts w:ascii="Calibri" w:hAnsi="Calibri"/>
          <w:b/>
          <w:color w:val="6366F1"/>
          <w:sz w:val="26"/>
        </w:rPr>
        <w:t>4.3  The 5 JSON Prompting Techniques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65F46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2340"/>
            <w:shd w:fill="065F46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2340"/>
            <w:shd w:fill="065F46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Compliance</w:t>
            </w:r>
          </w:p>
        </w:tc>
        <w:tc>
          <w:tcPr>
            <w:tcW w:type="dxa" w:w="2340"/>
            <w:shd w:fill="065F46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2340"/>
            <w:shd w:fill="F0FDF4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T1. Bare Instruction</w:t>
            </w:r>
          </w:p>
        </w:tc>
        <w:tc>
          <w:tcPr>
            <w:tcW w:type="dxa" w:w="2340"/>
            <w:shd w:fill="F0FDF4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'Output JSON'</w:t>
            </w:r>
          </w:p>
        </w:tc>
        <w:tc>
          <w:tcPr>
            <w:tcW w:type="dxa" w:w="2340"/>
            <w:shd w:fill="F0FDF4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Low — model defaults to prose + markdown fencing</w:t>
            </w:r>
          </w:p>
        </w:tc>
        <w:tc>
          <w:tcPr>
            <w:tcW w:type="dxa" w:w="2340"/>
            <w:shd w:fill="F0FDF4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Never use alone for structured output</w:t>
            </w:r>
          </w:p>
        </w:tc>
      </w:tr>
      <w:tr>
        <w:tc>
          <w:tcPr>
            <w:tcW w:type="dxa" w:w="2340"/>
            <w:shd w:fill="DCFCE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T2. Schema-in-Prompt</w:t>
            </w:r>
          </w:p>
        </w:tc>
        <w:tc>
          <w:tcPr>
            <w:tcW w:type="dxa" w:w="2340"/>
            <w:shd w:fill="DCFCE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List required fields + types in the system prompt</w:t>
            </w:r>
          </w:p>
        </w:tc>
        <w:tc>
          <w:tcPr>
            <w:tcW w:type="dxa" w:w="2340"/>
            <w:shd w:fill="DCFCE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Medium — model sees the shape, reduces missing keys</w:t>
            </w:r>
          </w:p>
        </w:tc>
        <w:tc>
          <w:tcPr>
            <w:tcW w:type="dxa" w:w="2340"/>
            <w:shd w:fill="DCFCE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Simple single-object extractions</w:t>
            </w:r>
          </w:p>
        </w:tc>
      </w:tr>
      <w:tr>
        <w:tc>
          <w:tcPr>
            <w:tcW w:type="dxa" w:w="2340"/>
            <w:shd w:fill="BBF7D0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T3. One-Shot Example</w:t>
            </w:r>
          </w:p>
        </w:tc>
        <w:tc>
          <w:tcPr>
            <w:tcW w:type="dxa" w:w="2340"/>
            <w:shd w:fill="BBF7D0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Input: [text] → Output: {"key": "val", ...}</w:t>
            </w:r>
          </w:p>
        </w:tc>
        <w:tc>
          <w:tcPr>
            <w:tcW w:type="dxa" w:w="2340"/>
            <w:shd w:fill="BBF7D0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High — induction heads copy exact format</w:t>
            </w:r>
          </w:p>
        </w:tc>
        <w:tc>
          <w:tcPr>
            <w:tcW w:type="dxa" w:w="2340"/>
            <w:shd w:fill="BBF7D0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Best general-purpose JSON extraction</w:t>
            </w:r>
          </w:p>
        </w:tc>
      </w:tr>
      <w:tr>
        <w:tc>
          <w:tcPr>
            <w:tcW w:type="dxa" w:w="2340"/>
            <w:shd w:fill="A7F3D0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T4. Chain-of-Thought → JSON</w:t>
            </w:r>
          </w:p>
        </w:tc>
        <w:tc>
          <w:tcPr>
            <w:tcW w:type="dxa" w:w="2340"/>
            <w:shd w:fill="A7F3D0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Step 1: find X. Step 2: find Y. Step 3: output JSON</w:t>
            </w:r>
          </w:p>
        </w:tc>
        <w:tc>
          <w:tcPr>
            <w:tcW w:type="dxa" w:w="2340"/>
            <w:shd w:fill="A7F3D0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High — scratchpad resolves ambiguity before output</w:t>
            </w:r>
          </w:p>
        </w:tc>
        <w:tc>
          <w:tcPr>
            <w:tcW w:type="dxa" w:w="2340"/>
            <w:shd w:fill="A7F3D0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Complex multi-field extractions</w:t>
            </w:r>
          </w:p>
        </w:tc>
      </w:tr>
      <w:tr>
        <w:tc>
          <w:tcPr>
            <w:tcW w:type="dxa" w:w="2340"/>
            <w:shd w:fill="D1FAE5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T5. Constrained Prefix</w:t>
            </w:r>
          </w:p>
        </w:tc>
        <w:tc>
          <w:tcPr>
            <w:tcW w:type="dxa" w:w="2340"/>
            <w:shd w:fill="D1FAE5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Prompt ends with '{' forcing model inside JSON</w:t>
            </w:r>
          </w:p>
        </w:tc>
        <w:tc>
          <w:tcPr>
            <w:tcW w:type="dxa" w:w="2340"/>
            <w:shd w:fill="D1FAE5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Very High — model cannot output prose before the JSON</w:t>
            </w:r>
          </w:p>
        </w:tc>
        <w:tc>
          <w:tcPr>
            <w:tcW w:type="dxa" w:w="2340"/>
            <w:shd w:fill="D1FAE5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When absolute format compliance is needed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6366F1"/>
          <w:sz w:val="26"/>
        </w:rPr>
        <w:t>4.4  Schema Validation + Auto-Repair Loop</w:t>
      </w:r>
    </w:p>
    <w:p>
      <w:pPr>
        <w:spacing w:after="80"/>
      </w:pPr>
      <w:r>
        <w:rPr>
          <w:rFonts w:ascii="Calibri" w:hAnsi="Calibri"/>
          <w:sz w:val="22"/>
        </w:rPr>
        <w:t>Never trust raw LLM output. Always validate and auto-repair:</w:t>
      </w:r>
    </w:p>
    <w:p>
      <w:pPr>
        <w:spacing w:after="120"/>
        <w:ind w:left="576"/>
        <w:shd w:fill="F8FAFC" w:val="clear"/>
      </w:pPr>
      <w:r>
        <w:rPr>
          <w:rFonts w:ascii="Courier New" w:hAnsi="Courier New"/>
          <w:color w:val="B45309"/>
          <w:sz w:val="18"/>
        </w:rPr>
        <w:t># Step 1: Extract JSON</w:t>
        <w:br/>
        <w:t>data = extract_json(llm_response)</w:t>
        <w:br/>
        <w:br/>
        <w:t># Step 2: Validate against schema</w:t>
        <w:br/>
        <w:t>valid, errors = validate_schema(data, required_keys, types)</w:t>
        <w:br/>
        <w:br/>
        <w:t># Step 3: Auto-repair if needed (ask model to fix its own output)</w:t>
        <w:br/>
        <w:t>if not valid:</w:t>
        <w:br/>
        <w:t xml:space="preserve">    repair_prompt = f'Fix this JSON: {llm_response}\nSchema: {schema}'</w:t>
        <w:br/>
        <w:t xml:space="preserve">    data = extract_json(model.generate(repair_prompt))</w:t>
        <w:br/>
        <w:br/>
        <w:t># Step 4: Use validated data safely</w:t>
        <w:br/>
        <w:t>process(data)</w:t>
      </w:r>
    </w:p>
    <w:p>
      <w:pPr>
        <w:spacing w:before="360" w:after="120"/>
      </w:pPr>
      <w:r>
        <w:rPr>
          <w:rFonts w:ascii="Calibri" w:hAnsi="Calibri"/>
          <w:b/>
          <w:color w:val="6366F1"/>
          <w:sz w:val="26"/>
        </w:rPr>
        <w:t>4.5  Gemini JSON Mode (Most Reliable — Production Use)</w:t>
      </w:r>
    </w:p>
    <w:p>
      <w:pPr>
        <w:spacing w:after="80"/>
      </w:pPr>
      <w:r>
        <w:rPr>
          <w:rFonts w:ascii="Calibri" w:hAnsi="Calibri"/>
          <w:sz w:val="22"/>
        </w:rPr>
        <w:t>Gemini supports constrained decoding that guarantees valid JSON output: pass response_mime_type='application/json' to GenerationConfig.</w:t>
      </w:r>
    </w:p>
    <w:p>
      <w:pPr>
        <w:spacing w:after="120"/>
        <w:ind w:left="576"/>
        <w:shd w:fill="F8FAFC" w:val="clear"/>
      </w:pPr>
      <w:r>
        <w:rPr>
          <w:rFonts w:ascii="Courier New" w:hAnsi="Courier New"/>
          <w:color w:val="B45309"/>
          <w:sz w:val="18"/>
        </w:rPr>
        <w:t>model = genai.GenerativeModel(</w:t>
        <w:br/>
        <w:t xml:space="preserve">    'gemini-1.5-flash',</w:t>
        <w:br/>
        <w:t xml:space="preserve">    system_instruction='Extract hotel, city, ratings as JSON.',</w:t>
        <w:br/>
        <w:t xml:space="preserve">    generation_config=genai.GenerationConfig(</w:t>
        <w:br/>
        <w:t xml:space="preserve">        response_mime_type='application/json'</w:t>
        <w:br/>
        <w:t xml:space="preserve">    )</w:t>
        <w:br/>
        <w:t>)</w:t>
        <w:br/>
        <w:t>resp = model.generate_content(review_text)</w:t>
        <w:br/>
        <w:t>data = json.loads(resp.text)   # always valid JSON</w:t>
      </w:r>
    </w:p>
    <w:p>
      <w:pPr>
        <w:spacing w:after="80"/>
      </w:pPr>
      <w:r>
        <w:rPr>
          <w:rFonts w:ascii="Calibri" w:hAnsi="Calibri"/>
          <w:sz w:val="22"/>
        </w:rPr>
        <w:t>Use this for production systems. Use T1-T5 techniques for testing, education, and non-Gemini APIs.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284C7"/>
          <w:sz w:val="32"/>
        </w:rPr>
        <w:t>5. Curated Resources</w:t>
      </w:r>
    </w:p>
    <w:p>
      <w:pPr>
        <w:spacing w:after="40"/>
      </w:pPr>
      <w:r>
        <w:rPr>
          <w:color w:val="BAE6F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6366F1"/>
          <w:sz w:val="26"/>
        </w:rPr>
        <w:t>4.1  Essential Papers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340"/>
            <w:shd w:fill="0F172A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Authors / Year</w:t>
            </w:r>
          </w:p>
        </w:tc>
        <w:tc>
          <w:tcPr>
            <w:tcW w:type="dxa" w:w="2340"/>
            <w:shd w:fill="0F172A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Link</w:t>
            </w:r>
          </w:p>
        </w:tc>
        <w:tc>
          <w:tcPr>
            <w:tcW w:type="dxa" w:w="2340"/>
            <w:shd w:fill="0F172A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340"/>
            <w:shd w:fill="F0F9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Attention Is All You Need</w:t>
            </w:r>
          </w:p>
        </w:tc>
        <w:tc>
          <w:tcPr>
            <w:tcW w:type="dxa" w:w="2340"/>
            <w:shd w:fill="F0F9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Vaswani et al., 2017</w:t>
            </w:r>
          </w:p>
        </w:tc>
        <w:tc>
          <w:tcPr>
            <w:tcW w:type="dxa" w:w="2340"/>
            <w:shd w:fill="F0F9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284C7"/>
                <w:sz w:val="18"/>
              </w:rPr>
              <w:t>arxiv.org/abs/1706.03762</w:t>
            </w:r>
          </w:p>
        </w:tc>
        <w:tc>
          <w:tcPr>
            <w:tcW w:type="dxa" w:w="2340"/>
            <w:shd w:fill="F0F9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Original transformer paper. Must-read for Q, K, V, Multi-Head and Positional Encoding.</w:t>
            </w:r>
          </w:p>
        </w:tc>
      </w:tr>
      <w:tr>
        <w:tc>
          <w:tcPr>
            <w:tcW w:type="dxa" w:w="2340"/>
            <w:shd w:fill="FEF3C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Lost in the Middle</w:t>
            </w:r>
          </w:p>
        </w:tc>
        <w:tc>
          <w:tcPr>
            <w:tcW w:type="dxa" w:w="2340"/>
            <w:shd w:fill="FEF3C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Liu et al., 2023</w:t>
            </w:r>
          </w:p>
        </w:tc>
        <w:tc>
          <w:tcPr>
            <w:tcW w:type="dxa" w:w="2340"/>
            <w:shd w:fill="FEF3C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284C7"/>
                <w:sz w:val="18"/>
              </w:rPr>
              <w:t>arxiv.org/abs/2307.03172</w:t>
            </w:r>
          </w:p>
        </w:tc>
        <w:tc>
          <w:tcPr>
            <w:tcW w:type="dxa" w:w="2340"/>
            <w:shd w:fill="FEF3C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Proves U-shaped recall in long-context models. Motivates end-anchoring of constraints.</w:t>
            </w:r>
          </w:p>
        </w:tc>
      </w:tr>
      <w:tr>
        <w:tc>
          <w:tcPr>
            <w:tcW w:type="dxa" w:w="2340"/>
            <w:shd w:fill="F0F9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Toolformer</w:t>
            </w:r>
          </w:p>
        </w:tc>
        <w:tc>
          <w:tcPr>
            <w:tcW w:type="dxa" w:w="2340"/>
            <w:shd w:fill="F0F9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Schick et al., 2023</w:t>
            </w:r>
          </w:p>
        </w:tc>
        <w:tc>
          <w:tcPr>
            <w:tcW w:type="dxa" w:w="2340"/>
            <w:shd w:fill="F0F9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284C7"/>
                <w:sz w:val="18"/>
              </w:rPr>
              <w:t>arxiv.org/abs/2302.04761</w:t>
            </w:r>
          </w:p>
        </w:tc>
        <w:tc>
          <w:tcPr>
            <w:tcW w:type="dxa" w:w="2340"/>
            <w:shd w:fill="F0F9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Shows how LLMs can be trained to self-insert API calls using delimiter syntax.</w:t>
            </w:r>
          </w:p>
        </w:tc>
      </w:tr>
      <w:tr>
        <w:tc>
          <w:tcPr>
            <w:tcW w:type="dxa" w:w="2340"/>
            <w:shd w:fill="FEF3C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Chain-of-Thought Prompting</w:t>
            </w:r>
          </w:p>
        </w:tc>
        <w:tc>
          <w:tcPr>
            <w:tcW w:type="dxa" w:w="2340"/>
            <w:shd w:fill="FEF3C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Wei et al., 2022</w:t>
            </w:r>
          </w:p>
        </w:tc>
        <w:tc>
          <w:tcPr>
            <w:tcW w:type="dxa" w:w="2340"/>
            <w:shd w:fill="FEF3C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284C7"/>
                <w:sz w:val="18"/>
              </w:rPr>
              <w:t>arxiv.org/abs/2201.11903</w:t>
            </w:r>
          </w:p>
        </w:tc>
        <w:tc>
          <w:tcPr>
            <w:tcW w:type="dxa" w:w="2340"/>
            <w:shd w:fill="FEF3C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Establishes CoT as a reasoning strategy; shows scratchpad tokens improve multi-step tasks.</w:t>
            </w:r>
          </w:p>
        </w:tc>
      </w:tr>
      <w:tr>
        <w:tc>
          <w:tcPr>
            <w:tcW w:type="dxa" w:w="2340"/>
            <w:shd w:fill="F0F9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In-Context Learning (ICL)</w:t>
            </w:r>
          </w:p>
        </w:tc>
        <w:tc>
          <w:tcPr>
            <w:tcW w:type="dxa" w:w="2340"/>
            <w:shd w:fill="F0F9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Brown et al., 2020 (GPT-3)</w:t>
            </w:r>
          </w:p>
        </w:tc>
        <w:tc>
          <w:tcPr>
            <w:tcW w:type="dxa" w:w="2340"/>
            <w:shd w:fill="F0F9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284C7"/>
                <w:sz w:val="18"/>
              </w:rPr>
              <w:t>arxiv.org/abs/2005.14165</w:t>
            </w:r>
          </w:p>
        </w:tc>
        <w:tc>
          <w:tcPr>
            <w:tcW w:type="dxa" w:w="2340"/>
            <w:shd w:fill="F0F9FF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Introduces few-shot prompting at scale; reveals induction head behaviour.</w:t>
            </w:r>
          </w:p>
        </w:tc>
      </w:tr>
      <w:tr>
        <w:tc>
          <w:tcPr>
            <w:tcW w:type="dxa" w:w="2340"/>
            <w:shd w:fill="FEF3C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 Mathematical Framework for Transformer Circuits</w:t>
            </w:r>
          </w:p>
        </w:tc>
        <w:tc>
          <w:tcPr>
            <w:tcW w:type="dxa" w:w="2340"/>
            <w:shd w:fill="FEF3C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Elhage et al., 2021</w:t>
            </w:r>
          </w:p>
        </w:tc>
        <w:tc>
          <w:tcPr>
            <w:tcW w:type="dxa" w:w="2340"/>
            <w:shd w:fill="FEF3C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284C7"/>
                <w:sz w:val="18"/>
              </w:rPr>
              <w:t>transformer-circuits.pub/2021/framework</w:t>
            </w:r>
          </w:p>
        </w:tc>
        <w:tc>
          <w:tcPr>
            <w:tcW w:type="dxa" w:w="2340"/>
            <w:shd w:fill="FEF3C7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Mechanistic interpretability: explains induction heads, attention patterns, QK/OV circuits.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6366F1"/>
          <w:sz w:val="26"/>
        </w:rPr>
        <w:t>4.2  Tools &amp;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Tool / Library</w:t>
            </w:r>
          </w:p>
        </w:tc>
        <w:tc>
          <w:tcPr>
            <w:tcW w:type="dxa" w:w="3120"/>
            <w:shd w:fill="0F172A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120"/>
            <w:shd w:fill="0F172A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Use Case in This Course</w:t>
            </w:r>
          </w:p>
        </w:tc>
      </w:tr>
      <w:tr>
        <w:tc>
          <w:tcPr>
            <w:tcW w:type="dxa" w:w="3120"/>
            <w:shd w:fill="F0FFF4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Google AI Studio</w:t>
            </w:r>
          </w:p>
        </w:tc>
        <w:tc>
          <w:tcPr>
            <w:tcW w:type="dxa" w:w="3120"/>
            <w:shd w:fill="F0FFF4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284C7"/>
                <w:sz w:val="18"/>
              </w:rPr>
              <w:t>aistudio.google.com</w:t>
            </w:r>
          </w:p>
        </w:tc>
        <w:tc>
          <w:tcPr>
            <w:tcW w:type="dxa" w:w="3120"/>
            <w:shd w:fill="F0FFF4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Live prompt playground for Gemini — test all 5 variants interactively</w:t>
            </w:r>
          </w:p>
        </w:tc>
      </w:tr>
      <w:tr>
        <w:tc>
          <w:tcPr>
            <w:tcW w:type="dxa" w:w="3120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Google Gen AI SDK</w:t>
            </w:r>
          </w:p>
        </w:tc>
        <w:tc>
          <w:tcPr>
            <w:tcW w:type="dxa" w:w="3120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284C7"/>
                <w:sz w:val="18"/>
              </w:rPr>
              <w:t>github.com/google-gemini/generative-ai-python</w:t>
            </w:r>
          </w:p>
        </w:tc>
        <w:tc>
          <w:tcPr>
            <w:tcW w:type="dxa" w:w="3120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Official Python SDK used in Lessons 2–5</w:t>
            </w:r>
          </w:p>
        </w:tc>
      </w:tr>
      <w:tr>
        <w:tc>
          <w:tcPr>
            <w:tcW w:type="dxa" w:w="3120"/>
            <w:shd w:fill="F0FFF4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TransformerLens</w:t>
            </w:r>
          </w:p>
        </w:tc>
        <w:tc>
          <w:tcPr>
            <w:tcW w:type="dxa" w:w="3120"/>
            <w:shd w:fill="F0FFF4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284C7"/>
                <w:sz w:val="18"/>
              </w:rPr>
              <w:t>github.com/neelnanda-io/TransformerLens</w:t>
            </w:r>
          </w:p>
        </w:tc>
        <w:tc>
          <w:tcPr>
            <w:tcW w:type="dxa" w:w="3120"/>
            <w:shd w:fill="F0FFF4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Inspect any transformer's residual stream, attention heads and circuits</w:t>
            </w:r>
          </w:p>
        </w:tc>
      </w:tr>
      <w:tr>
        <w:tc>
          <w:tcPr>
            <w:tcW w:type="dxa" w:w="3120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BertViz</w:t>
            </w:r>
          </w:p>
        </w:tc>
        <w:tc>
          <w:tcPr>
            <w:tcW w:type="dxa" w:w="3120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284C7"/>
                <w:sz w:val="18"/>
              </w:rPr>
              <w:t>github.com/jessevig/bertviz</w:t>
            </w:r>
          </w:p>
        </w:tc>
        <w:tc>
          <w:tcPr>
            <w:tcW w:type="dxa" w:w="3120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Interactive attention head visualiser for BERT/GPT family</w:t>
            </w:r>
          </w:p>
        </w:tc>
      </w:tr>
      <w:tr>
        <w:tc>
          <w:tcPr>
            <w:tcW w:type="dxa" w:w="3120"/>
            <w:shd w:fill="F0FFF4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LangChain</w:t>
            </w:r>
          </w:p>
        </w:tc>
        <w:tc>
          <w:tcPr>
            <w:tcW w:type="dxa" w:w="3120"/>
            <w:shd w:fill="F0FFF4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284C7"/>
                <w:sz w:val="18"/>
              </w:rPr>
              <w:t>python.langchain.com</w:t>
            </w:r>
          </w:p>
        </w:tc>
        <w:tc>
          <w:tcPr>
            <w:tcW w:type="dxa" w:w="3120"/>
            <w:shd w:fill="F0FFF4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Framework for building agentic pipelines with tool calling</w:t>
            </w:r>
          </w:p>
        </w:tc>
      </w:tr>
      <w:tr>
        <w:tc>
          <w:tcPr>
            <w:tcW w:type="dxa" w:w="3120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LangGraph</w:t>
            </w:r>
          </w:p>
        </w:tc>
        <w:tc>
          <w:tcPr>
            <w:tcW w:type="dxa" w:w="3120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284C7"/>
                <w:sz w:val="18"/>
              </w:rPr>
              <w:t>langchain-ai.github.io/langgraph</w:t>
            </w:r>
          </w:p>
        </w:tc>
        <w:tc>
          <w:tcPr>
            <w:tcW w:type="dxa" w:w="3120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Graph-based multi-agent orchestration (extension of Lesson 5)</w:t>
            </w:r>
          </w:p>
        </w:tc>
      </w:tr>
      <w:tr>
        <w:tc>
          <w:tcPr>
            <w:tcW w:type="dxa" w:w="3120"/>
            <w:shd w:fill="F0FFF4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HuggingFace Transformers</w:t>
            </w:r>
          </w:p>
        </w:tc>
        <w:tc>
          <w:tcPr>
            <w:tcW w:type="dxa" w:w="3120"/>
            <w:shd w:fill="F0FFF4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284C7"/>
                <w:sz w:val="18"/>
              </w:rPr>
              <w:t>huggingface.co/docs/transformers</w:t>
            </w:r>
          </w:p>
        </w:tc>
        <w:tc>
          <w:tcPr>
            <w:tcW w:type="dxa" w:w="3120"/>
            <w:shd w:fill="F0FFF4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Load GPT-2 / Llama for local attention extraction (Lesson 6)</w:t>
            </w:r>
          </w:p>
        </w:tc>
      </w:tr>
      <w:tr>
        <w:tc>
          <w:tcPr>
            <w:tcW w:type="dxa" w:w="3120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OpenAI Cookbook</w:t>
            </w:r>
          </w:p>
        </w:tc>
        <w:tc>
          <w:tcPr>
            <w:tcW w:type="dxa" w:w="3120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284C7"/>
                <w:sz w:val="18"/>
              </w:rPr>
              <w:t>cookbook.openai.com</w:t>
            </w:r>
          </w:p>
        </w:tc>
        <w:tc>
          <w:tcPr>
            <w:tcW w:type="dxa" w:w="3120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8"/>
              </w:rPr>
              <w:t>Practical agentic patterns, function calling recipes, RAG guides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6366F1"/>
          <w:sz w:val="26"/>
        </w:rPr>
        <w:t>4.3  Videos &amp; Courses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Andrej Karpathy — Let's build GPT from scratch  </w:t>
      </w:r>
      <w:r>
        <w:rPr>
          <w:rFonts w:ascii="Calibri" w:hAnsi="Calibri"/>
          <w:color w:val="0284C7"/>
          <w:sz w:val="18"/>
        </w:rPr>
        <w:t xml:space="preserve">(youtube.com/watch?v=kCc8FmEb1nY)  </w:t>
      </w:r>
      <w:r>
        <w:rPr>
          <w:rFonts w:ascii="Calibri" w:hAnsi="Calibri"/>
          <w:color w:val="64748B"/>
          <w:sz w:val="18"/>
        </w:rPr>
        <w:t>— 90-min video. Builds a full transformer from scratch. Best beginner video on internals.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3Blue1Brown — Attention in Transformers  </w:t>
      </w:r>
      <w:r>
        <w:rPr>
          <w:rFonts w:ascii="Calibri" w:hAnsi="Calibri"/>
          <w:color w:val="0284C7"/>
          <w:sz w:val="18"/>
        </w:rPr>
        <w:t xml:space="preserve">(youtube.com/watch?v=eMlx5fFNoYc)  </w:t>
      </w:r>
      <w:r>
        <w:rPr>
          <w:rFonts w:ascii="Calibri" w:hAnsi="Calibri"/>
          <w:color w:val="64748B"/>
          <w:sz w:val="18"/>
        </w:rPr>
        <w:t>— Visual walkthrough of Q, K, V and softmax. Ideal for classroom intro (15 min).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Andrej Karpathy — Neural Nets: Zero to Hero  </w:t>
      </w:r>
      <w:r>
        <w:rPr>
          <w:rFonts w:ascii="Calibri" w:hAnsi="Calibri"/>
          <w:color w:val="0284C7"/>
          <w:sz w:val="18"/>
        </w:rPr>
        <w:t xml:space="preserve">(karpathy.ai/zero-to-hero.html)  </w:t>
      </w:r>
      <w:r>
        <w:rPr>
          <w:rFonts w:ascii="Calibri" w:hAnsi="Calibri"/>
          <w:color w:val="64748B"/>
          <w:sz w:val="18"/>
        </w:rPr>
        <w:t>— Full series from micrograd → GPT. Covers backprop, RNNs, attention, transformers.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DeepLearning.AI — Prompt Engineering for Devs  </w:t>
      </w:r>
      <w:r>
        <w:rPr>
          <w:rFonts w:ascii="Calibri" w:hAnsi="Calibri"/>
          <w:color w:val="0284C7"/>
          <w:sz w:val="18"/>
        </w:rPr>
        <w:t xml:space="preserve">(deeplearning.ai/short-courses/chatgpt-prompt-engineering)  </w:t>
      </w:r>
      <w:r>
        <w:rPr>
          <w:rFonts w:ascii="Calibri" w:hAnsi="Calibri"/>
          <w:color w:val="64748B"/>
          <w:sz w:val="18"/>
        </w:rPr>
        <w:t>— Andrew Ng + OpenAI. Covers few-shot, CoT, formatting, and tool use with examples.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Neel Nanda — Mechanistic Interpretability  </w:t>
      </w:r>
      <w:r>
        <w:rPr>
          <w:rFonts w:ascii="Calibri" w:hAnsi="Calibri"/>
          <w:color w:val="0284C7"/>
          <w:sz w:val="18"/>
        </w:rPr>
        <w:t xml:space="preserve">(youtube.com/@neelnanda2469)  </w:t>
      </w:r>
      <w:r>
        <w:rPr>
          <w:rFonts w:ascii="Calibri" w:hAnsi="Calibri"/>
          <w:color w:val="64748B"/>
          <w:sz w:val="18"/>
        </w:rPr>
        <w:t>— Deep dives into induction heads, attention patterns, and circuit-level analysis.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Gemini API Docs — Function Calling  </w:t>
      </w:r>
      <w:r>
        <w:rPr>
          <w:rFonts w:ascii="Calibri" w:hAnsi="Calibri"/>
          <w:color w:val="0284C7"/>
          <w:sz w:val="18"/>
        </w:rPr>
        <w:t xml:space="preserve">(ai.google.dev/gemini-api/docs/function-calling)  </w:t>
      </w:r>
      <w:r>
        <w:rPr>
          <w:rFonts w:ascii="Calibri" w:hAnsi="Calibri"/>
          <w:color w:val="64748B"/>
          <w:sz w:val="18"/>
        </w:rPr>
        <w:t>— Official guide used in Lessons 3–5. Native tool schema declaration + dispatch.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284C7"/>
          <w:sz w:val="32"/>
        </w:rPr>
        <w:t>6. Revision Quiz — 13 Questions</w:t>
      </w:r>
    </w:p>
    <w:p>
      <w:pPr>
        <w:spacing w:after="40"/>
      </w:pPr>
      <w:r>
        <w:rPr>
          <w:color w:val="BAE6FD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/>
      </w:pPr>
      <w:r>
        <w:rPr>
          <w:rFonts w:ascii="Calibri" w:hAnsi="Calibri"/>
          <w:b/>
          <w:color w:val="0F172A"/>
          <w:sz w:val="22"/>
        </w:rPr>
        <w:t>Q1.  What does the softmax in Attention(Q,K,V) = softmax(QKᵀ/√dₖ)·V ensure?</w:t>
      </w:r>
    </w:p>
    <w:p>
      <w:pPr>
        <w:ind w:left="504"/>
      </w:pPr>
      <w:r>
        <w:rPr>
          <w:rFonts w:ascii="Calibri" w:hAnsi="Calibri"/>
          <w:color w:val="15803D"/>
          <w:sz w:val="20"/>
        </w:rPr>
        <w:t>▶  Attention weights across all keys sum to 1.0, making them a probability distribution.</w:t>
      </w:r>
    </w:p>
    <w:p>
      <w:pPr>
        <w:spacing w:before="120"/>
      </w:pPr>
      <w:r>
        <w:rPr>
          <w:rFonts w:ascii="Calibri" w:hAnsi="Calibri"/>
          <w:b/>
          <w:color w:val="0F172A"/>
          <w:sz w:val="22"/>
        </w:rPr>
        <w:t>Q2.  Why do we divide by √dₖ before applying softmax?</w:t>
      </w:r>
    </w:p>
    <w:p>
      <w:pPr>
        <w:ind w:left="504"/>
      </w:pPr>
      <w:r>
        <w:rPr>
          <w:rFonts w:ascii="Calibri" w:hAnsi="Calibri"/>
          <w:color w:val="15803D"/>
          <w:sz w:val="20"/>
        </w:rPr>
        <w:t>▶  Large dot products push softmax into saturation (near-zero gradients). Scaling keeps variance ≈ 1.</w:t>
      </w:r>
    </w:p>
    <w:p>
      <w:pPr>
        <w:spacing w:before="120"/>
      </w:pPr>
      <w:r>
        <w:rPr>
          <w:rFonts w:ascii="Calibri" w:hAnsi="Calibri"/>
          <w:b/>
          <w:color w:val="0F172A"/>
          <w:sz w:val="22"/>
        </w:rPr>
        <w:t>Q3.  What are induction heads, and which prompt technique exploits them?</w:t>
      </w:r>
    </w:p>
    <w:p>
      <w:pPr>
        <w:ind w:left="504"/>
      </w:pPr>
      <w:r>
        <w:rPr>
          <w:rFonts w:ascii="Calibri" w:hAnsi="Calibri"/>
          <w:color w:val="15803D"/>
          <w:sz w:val="20"/>
        </w:rPr>
        <w:t>▶  Attention heads that complete [A][B]…[A]→[B] patterns. Few-shot examples activate them.</w:t>
      </w:r>
    </w:p>
    <w:p>
      <w:pPr>
        <w:spacing w:before="120"/>
      </w:pPr>
      <w:r>
        <w:rPr>
          <w:rFonts w:ascii="Calibri" w:hAnsi="Calibri"/>
          <w:b/>
          <w:color w:val="0F172A"/>
          <w:sz w:val="22"/>
        </w:rPr>
        <w:t>Q4.  Describe the 'Lost in the Middle' phenomenon.</w:t>
      </w:r>
    </w:p>
    <w:p>
      <w:pPr>
        <w:ind w:left="504"/>
      </w:pPr>
      <w:r>
        <w:rPr>
          <w:rFonts w:ascii="Calibri" w:hAnsi="Calibri"/>
          <w:color w:val="15803D"/>
          <w:sz w:val="20"/>
        </w:rPr>
        <w:t>▶  Models have U-shaped recall: strong at start/end, weak in the middle. Critical constraints placed centrally are often ignored.</w:t>
      </w:r>
    </w:p>
    <w:p>
      <w:pPr>
        <w:spacing w:before="120"/>
      </w:pPr>
      <w:r>
        <w:rPr>
          <w:rFonts w:ascii="Calibri" w:hAnsi="Calibri"/>
          <w:b/>
          <w:color w:val="0F172A"/>
          <w:sz w:val="22"/>
        </w:rPr>
        <w:t>Q5.  What does a low attention entropy value tell you?</w:t>
      </w:r>
    </w:p>
    <w:p>
      <w:pPr>
        <w:ind w:left="504"/>
      </w:pPr>
      <w:r>
        <w:rPr>
          <w:rFonts w:ascii="Calibri" w:hAnsi="Calibri"/>
          <w:color w:val="15803D"/>
          <w:sz w:val="20"/>
        </w:rPr>
        <w:t>▶  The model is focused: most attention weight is concentrated on a small number of tokens.</w:t>
      </w:r>
    </w:p>
    <w:p>
      <w:pPr>
        <w:spacing w:before="120"/>
      </w:pPr>
      <w:r>
        <w:rPr>
          <w:rFonts w:ascii="Calibri" w:hAnsi="Calibri"/>
          <w:b/>
          <w:color w:val="0F172A"/>
          <w:sz w:val="22"/>
        </w:rPr>
        <w:t>Q6.  In the agentic loop, what happens after the model emits a FunctionCall?</w:t>
      </w:r>
    </w:p>
    <w:p>
      <w:pPr>
        <w:ind w:left="504"/>
      </w:pPr>
      <w:r>
        <w:rPr>
          <w:rFonts w:ascii="Calibri" w:hAnsi="Calibri"/>
          <w:color w:val="15803D"/>
          <w:sz w:val="20"/>
        </w:rPr>
        <w:t>▶  The caller executes the function, appends the FunctionResponse to history, and calls the model again.</w:t>
      </w:r>
    </w:p>
    <w:p>
      <w:pPr>
        <w:spacing w:before="120"/>
      </w:pPr>
      <w:r>
        <w:rPr>
          <w:rFonts w:ascii="Calibri" w:hAnsi="Calibri"/>
          <w:b/>
          <w:color w:val="0F172A"/>
          <w:sz w:val="22"/>
        </w:rPr>
        <w:t>Q7.  Why do XML delimiters (&lt;tool&gt;, &lt;call&gt;) improve structured output compliance?</w:t>
      </w:r>
    </w:p>
    <w:p>
      <w:pPr>
        <w:ind w:left="504"/>
      </w:pPr>
      <w:r>
        <w:rPr>
          <w:rFonts w:ascii="Calibri" w:hAnsi="Calibri"/>
          <w:color w:val="15803D"/>
          <w:sz w:val="20"/>
        </w:rPr>
        <w:t>▶  They produce distinctive Key vectors that attract format-specialised attention heads, acting as anchors.</w:t>
      </w:r>
    </w:p>
    <w:p>
      <w:pPr>
        <w:spacing w:before="120"/>
      </w:pPr>
      <w:r>
        <w:rPr>
          <w:rFonts w:ascii="Calibri" w:hAnsi="Calibri"/>
          <w:b/>
          <w:color w:val="0F172A"/>
          <w:sz w:val="22"/>
        </w:rPr>
        <w:t>Q8.  What is the role of the CRITIC agent in the 3-agent pipeline?</w:t>
      </w:r>
    </w:p>
    <w:p>
      <w:pPr>
        <w:ind w:left="504"/>
      </w:pPr>
      <w:r>
        <w:rPr>
          <w:rFonts w:ascii="Calibri" w:hAnsi="Calibri"/>
          <w:color w:val="15803D"/>
          <w:sz w:val="20"/>
        </w:rPr>
        <w:t>▶  It reviews the execution trace, checks that all user sub-goals were addressed, and writes the final user-facing summary.</w:t>
      </w:r>
    </w:p>
    <w:p>
      <w:pPr>
        <w:spacing w:before="120"/>
      </w:pPr>
      <w:r>
        <w:rPr>
          <w:rFonts w:ascii="Calibri" w:hAnsi="Calibri"/>
          <w:b/>
          <w:color w:val="0F172A"/>
          <w:sz w:val="22"/>
        </w:rPr>
        <w:t>Q9.  What is the practical difference between d_k=1 and d_k=512 in attention?</w:t>
      </w:r>
    </w:p>
    <w:p>
      <w:pPr>
        <w:ind w:left="504"/>
      </w:pPr>
      <w:r>
        <w:rPr>
          <w:rFonts w:ascii="Calibri" w:hAnsi="Calibri"/>
          <w:color w:val="15803D"/>
          <w:sz w:val="20"/>
        </w:rPr>
        <w:t>▶  d_k=1: scores are tiny, softmax gives near-uniform weights (unfocused). d_k=512: without √dₖ scaling, scores explode and softmax becomes a near-one-hot spike.</w:t>
      </w:r>
    </w:p>
    <w:p>
      <w:pPr>
        <w:spacing w:before="120"/>
      </w:pPr>
      <w:r>
        <w:rPr>
          <w:rFonts w:ascii="Calibri" w:hAnsi="Calibri"/>
          <w:b/>
          <w:color w:val="0F172A"/>
          <w:sz w:val="22"/>
        </w:rPr>
        <w:t>Q10.  Name two techniques to mitigate context window pressure in long agent loops.</w:t>
      </w:r>
    </w:p>
    <w:p>
      <w:pPr>
        <w:ind w:left="504"/>
      </w:pPr>
      <w:r>
        <w:rPr>
          <w:rFonts w:ascii="Calibri" w:hAnsi="Calibri"/>
          <w:color w:val="15803D"/>
          <w:sz w:val="20"/>
        </w:rPr>
        <w:t>▶  1) Summarise tool results before appending. 2) Re-state the original goal each turn to prevent primacy decay.</w:t>
      </w:r>
    </w:p>
    <w:p>
      <w:pPr>
        <w:spacing w:before="120"/>
      </w:pPr>
      <w:r>
        <w:rPr>
          <w:rFonts w:ascii="Calibri" w:hAnsi="Calibri"/>
          <w:b/>
          <w:color w:val="0F172A"/>
          <w:sz w:val="22"/>
        </w:rPr>
        <w:t>Q11.  What are the 3 most common reasons LLM JSON output fails to parse?</w:t>
      </w:r>
    </w:p>
    <w:p>
      <w:pPr>
        <w:ind w:left="504"/>
      </w:pPr>
      <w:r>
        <w:rPr>
          <w:rFonts w:ascii="Calibri" w:hAnsi="Calibri"/>
          <w:color w:val="15803D"/>
          <w:sz w:val="20"/>
        </w:rPr>
        <w:t>▶  Trailing commas, prose wrapping around the JSON, and markdown fencing (``` blocks).</w:t>
      </w:r>
    </w:p>
    <w:p>
      <w:pPr>
        <w:spacing w:before="120"/>
      </w:pPr>
      <w:r>
        <w:rPr>
          <w:rFonts w:ascii="Calibri" w:hAnsi="Calibri"/>
          <w:b/>
          <w:color w:val="0F172A"/>
          <w:sz w:val="22"/>
        </w:rPr>
        <w:t>Q12.  What is the 'Constrained Prefix' technique and why is it effective?</w:t>
      </w:r>
    </w:p>
    <w:p>
      <w:pPr>
        <w:ind w:left="504"/>
      </w:pPr>
      <w:r>
        <w:rPr>
          <w:rFonts w:ascii="Calibri" w:hAnsi="Calibri"/>
          <w:color w:val="15803D"/>
          <w:sz w:val="20"/>
        </w:rPr>
        <w:t>▶  The system prompt ends with '{' so the model begins generation inside the JSON — it cannot prepend prose. This exploits the model's autoregressive nature.</w:t>
      </w:r>
    </w:p>
    <w:p>
      <w:pPr>
        <w:spacing w:before="120"/>
      </w:pPr>
      <w:r>
        <w:rPr>
          <w:rFonts w:ascii="Calibri" w:hAnsi="Calibri"/>
          <w:b/>
          <w:color w:val="0F172A"/>
          <w:sz w:val="22"/>
        </w:rPr>
        <w:t>Q13.  When should you use response_mime_type='application/json' in Gemini vs. prompt-based techniques?</w:t>
      </w:r>
    </w:p>
    <w:p>
      <w:pPr>
        <w:ind w:left="504"/>
      </w:pPr>
      <w:r>
        <w:rPr>
          <w:rFonts w:ascii="Calibri" w:hAnsi="Calibri"/>
          <w:color w:val="15803D"/>
          <w:sz w:val="20"/>
        </w:rPr>
        <w:t>▶  Use JSON mode for production systems needing guaranteed valid JSON. Use prompt techniques (T1-T5) for learning, cross-API work, or when you need schema control in the prompt itself.</w:t>
      </w:r>
    </w:p>
    <w:p>
      <w:r>
        <w:br w:type="page"/>
      </w:r>
    </w:p>
    <w:p>
      <w:pPr>
        <w:jc w:val="center"/>
      </w:pPr>
      <w:r>
        <w:rPr>
          <w:rFonts w:ascii="Calibri" w:hAnsi="Calibri"/>
          <w:color w:val="64748B"/>
          <w:sz w:val="18"/>
        </w:rPr>
        <w:t>Day 2 — Transformer Internals + Prompt Anatomy + JSON Prompting  |  Agentic AI Teaching Guide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