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CFA" w:rsidRDefault="00F64C82">
      <w:pPr>
        <w:jc w:val="center"/>
      </w:pPr>
      <w:r>
        <w:rPr>
          <w:b/>
          <w:color w:val="1F4E79"/>
          <w:sz w:val="30"/>
        </w:rPr>
        <w:t>PROJECT DEVELOPMENT PHASE</w:t>
      </w:r>
    </w:p>
    <w:p w:rsidR="008B6CFA" w:rsidRDefault="00F64C82">
      <w:pPr>
        <w:jc w:val="center"/>
      </w:pPr>
      <w:r>
        <w:rPr>
          <w:b/>
          <w:sz w:val="24"/>
        </w:rPr>
        <w:t>Platform Performance Test</w:t>
      </w:r>
    </w:p>
    <w:p w:rsidR="008B6CFA" w:rsidRDefault="00F64C82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6F0101">
        <w:rPr>
          <w:i/>
        </w:rPr>
        <w:t>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8B6CFA" w:rsidRDefault="00F64C82">
      <w:r>
        <w:t xml:space="preserve">This assessment is aligned to the screenshot-supported ServiceNow Medical Diagnosis Center </w:t>
      </w:r>
      <w:r>
        <w:t>workflow. Salesforce-specific measurements are not applicable. The evaluation therefore focuses on the actual ServiceNow portal journey, diagnostic-test selection, booking stages, appointment records, completion automation, report creation, patient visibil</w:t>
      </w:r>
      <w:r>
        <w:t>ity and access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B6CFA">
        <w:tc>
          <w:tcPr>
            <w:tcW w:w="2664" w:type="dxa"/>
            <w:shd w:val="clear" w:color="auto" w:fill="1F4E79"/>
          </w:tcPr>
          <w:p w:rsidR="008B6CFA" w:rsidRDefault="00F64C82">
            <w:r>
              <w:rPr>
                <w:b/>
                <w:color w:val="FFFFFF"/>
                <w:sz w:val="14"/>
              </w:rPr>
              <w:t>S.No.</w:t>
            </w:r>
          </w:p>
        </w:tc>
        <w:tc>
          <w:tcPr>
            <w:tcW w:w="2664" w:type="dxa"/>
            <w:shd w:val="clear" w:color="auto" w:fill="1F4E79"/>
          </w:tcPr>
          <w:p w:rsidR="008B6CFA" w:rsidRDefault="00F64C82"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w="2664" w:type="dxa"/>
            <w:shd w:val="clear" w:color="auto" w:fill="1F4E79"/>
          </w:tcPr>
          <w:p w:rsidR="008B6CFA" w:rsidRDefault="00F64C82">
            <w:r>
              <w:rPr>
                <w:b/>
                <w:color w:val="FFFFFF"/>
                <w:sz w:val="14"/>
              </w:rPr>
              <w:t>Values</w:t>
            </w:r>
          </w:p>
        </w:tc>
        <w:tc>
          <w:tcPr>
            <w:tcW w:w="2664" w:type="dxa"/>
            <w:shd w:val="clear" w:color="auto" w:fill="1F4E79"/>
          </w:tcPr>
          <w:p w:rsidR="008B6CFA" w:rsidRDefault="00F64C82">
            <w:r>
              <w:rPr>
                <w:b/>
                <w:color w:val="FFFFFF"/>
                <w:sz w:val="14"/>
              </w:rPr>
              <w:t>Screenshot / Evidence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1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Platform Summary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ServiceNow Medical Diagnosis Center using Service Portal, Medical Test Catalog, Diagnostic Test records, Patient Details, Schedule, configured Payment stage, Appointme</w:t>
            </w:r>
            <w:r>
              <w:rPr>
                <w:sz w:val="13"/>
              </w:rPr>
              <w:t>nt records, My Appointments, Appointment Completed automation, Report records and My Lab Reports.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Service Portal / Medical Test Catalog; booking stages; Appointment; Report; portal screenshots.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2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Diagnostic Data Accuracy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Validation focuses on selected dia</w:t>
            </w:r>
            <w:r>
              <w:rPr>
                <w:sz w:val="13"/>
              </w:rPr>
              <w:t>gnostic test, patient details, schedule information and the resulting Appointment and Report records. Values should remain consistent from booking through report availability.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Catalog/booking form; Patient/Appointment/Report records.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3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 xml:space="preserve">Workflow </w:t>
            </w:r>
            <w:r>
              <w:rPr>
                <w:sz w:val="13"/>
              </w:rPr>
              <w:t>Execution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The implemented journey follows Medical Test Catalog → Select Diagnostic Test → Book Now → Patient Details → Schedule → Payment → Done. The resulting Appointment is available through My Appointments.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Service Portal workflow screens; Appointment r</w:t>
            </w:r>
            <w:r>
              <w:rPr>
                <w:sz w:val="13"/>
              </w:rPr>
              <w:t>ecord/status evidence.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4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Appointment Completion Automation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When the Appointment reaches the configured Completed condition, the implemented automation creates the corresponding Report record.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Appointment Completed state; automation/execution evidence; Rep</w:t>
            </w:r>
            <w:r>
              <w:rPr>
                <w:sz w:val="13"/>
              </w:rPr>
              <w:t>ort record.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5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Appointment &amp; Report Lifecycle Performance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The lifecycle can be followed from diagnostic-test selection through booking, Appointment tracking, completion, automatic Report creation and My Lab Reports. No numeric response-time benchmark is cl</w:t>
            </w:r>
            <w:r>
              <w:rPr>
                <w:sz w:val="13"/>
              </w:rPr>
              <w:t>aimed without measured timing data.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Appointment lifecycle; Report creation; My Appointments/My Lab Reports screenshots.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6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Patient Notification / Status Communication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Only notifications actually configured in the current instance should be claimed. The pat</w:t>
            </w:r>
            <w:r>
              <w:rPr>
                <w:sz w:val="13"/>
              </w:rPr>
              <w:t>ient-facing portal provides appointment/report visibility through My Appointments and My Lab Reports.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Configured notification evidence, if implemented; portal status/report views.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7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Security &amp; Access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 xml:space="preserve">Configured roles and ACLs control access to </w:t>
            </w:r>
            <w:r>
              <w:rPr>
                <w:sz w:val="13"/>
              </w:rPr>
              <w:t>applicable Patient, Appointment, Diagnostic Test and Report information.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Role/ACL configuration and access screenshots.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8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Platform / Integration Boundary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The current implementation is contained within ServiceNow. No external laboratory/device API, externa</w:t>
            </w:r>
            <w:r>
              <w:rPr>
                <w:sz w:val="13"/>
              </w:rPr>
              <w:t>l payment gateway, SMS/WhatsApp, Power BI/Tableau or third-party analytics integration is claimed.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ServiceNow configuration and current technology boundary.</w:t>
            </w:r>
          </w:p>
        </w:tc>
      </w:tr>
      <w:tr w:rsidR="008B6CFA">
        <w:tc>
          <w:tcPr>
            <w:tcW w:w="2664" w:type="dxa"/>
            <w:shd w:val="clear" w:color="auto" w:fill="D9EAF7"/>
          </w:tcPr>
          <w:p w:rsidR="008B6CFA" w:rsidRDefault="00F64C82">
            <w:r>
              <w:rPr>
                <w:sz w:val="13"/>
              </w:rPr>
              <w:t>9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ML / Confidence Score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N/A. No machine-learning, object-detection or clinical AI model is impleme</w:t>
            </w:r>
            <w:r>
              <w:rPr>
                <w:sz w:val="13"/>
              </w:rPr>
              <w:t>nted. The workflow is deterministic and configuration-driven.</w:t>
            </w:r>
          </w:p>
        </w:tc>
        <w:tc>
          <w:tcPr>
            <w:tcW w:w="2664" w:type="dxa"/>
          </w:tcPr>
          <w:p w:rsidR="008B6CFA" w:rsidRDefault="00F64C82">
            <w:r>
              <w:rPr>
                <w:sz w:val="13"/>
              </w:rPr>
              <w:t>Not Applicable.</w:t>
            </w:r>
          </w:p>
        </w:tc>
      </w:tr>
    </w:tbl>
    <w:p w:rsidR="008B6CFA" w:rsidRDefault="00F64C82">
      <w:r>
        <w:rPr>
          <w:b/>
          <w:color w:val="1F4E79"/>
          <w:sz w:val="23"/>
        </w:rPr>
        <w:t>Platform Performance Test Conclusion</w:t>
      </w:r>
    </w:p>
    <w:p w:rsidR="008B6CFA" w:rsidRDefault="00F64C82">
      <w:r>
        <w:t xml:space="preserve">The ServiceNow implementation demonstrates platform-level functional performance across diagnostic-test discovery, booking, patient </w:t>
      </w:r>
      <w:r>
        <w:t>information capture, scheduling, the configured payment stage, appointment creation/tracking, appointment completion, automatic report creation, My Appointments, My Lab Reports and access control. The available evidence supports configuration and execution</w:t>
      </w:r>
      <w:r>
        <w:t xml:space="preserve"> validation rather than a numerical load/performance benchmark.</w:t>
      </w:r>
    </w:p>
    <w:p w:rsidR="008B6CFA" w:rsidRDefault="00F64C82">
      <w:r>
        <w:rPr>
          <w:b/>
          <w:color w:val="1F4E79"/>
          <w:sz w:val="23"/>
        </w:rPr>
        <w:t>Current Boundary</w:t>
      </w:r>
    </w:p>
    <w:p w:rsidR="008B6CFA" w:rsidRDefault="00F64C82">
      <w:r>
        <w:t>• Does not claim production-scale load results.</w:t>
      </w:r>
    </w:p>
    <w:p w:rsidR="008B6CFA" w:rsidRDefault="00F64C82">
      <w:r>
        <w:t>• Does not claim external laboratory/device execution or clinical diagnosis.</w:t>
      </w:r>
    </w:p>
    <w:p w:rsidR="008B6CFA" w:rsidRDefault="00F64C82">
      <w:r>
        <w:t>• Does not claim an external payment gateway merel</w:t>
      </w:r>
      <w:r>
        <w:t>y because a Payment stage exists in the booking journey.</w:t>
      </w:r>
    </w:p>
    <w:p w:rsidR="008B6CFA" w:rsidRDefault="00F64C82">
      <w:r>
        <w:t>• Does not claim external messaging, Power BI/Tableau analytics or ML-model performance.</w:t>
      </w:r>
    </w:p>
    <w:sectPr w:rsidR="008B6CFA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64C82" w:rsidRDefault="00F64C82">
      <w:pPr>
        <w:spacing w:after="0" w:line="240" w:lineRule="auto"/>
      </w:pPr>
      <w:r>
        <w:separator/>
      </w:r>
    </w:p>
  </w:endnote>
  <w:endnote w:type="continuationSeparator" w:id="0">
    <w:p w:rsidR="00F64C82" w:rsidRDefault="00F64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B6CFA" w:rsidRDefault="00F64C82">
    <w:pPr>
      <w:pStyle w:val="Footer"/>
      <w:jc w:val="center"/>
    </w:pPr>
    <w:r>
      <w:rPr>
        <w:sz w:val="14"/>
      </w:rPr>
      <w:t xml:space="preserve">Medical Diagnosis Center by Service Portal (ServiceNow) – Platform Performance Test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64C82" w:rsidRDefault="00F64C82">
      <w:pPr>
        <w:spacing w:after="0" w:line="240" w:lineRule="auto"/>
      </w:pPr>
      <w:r>
        <w:separator/>
      </w:r>
    </w:p>
  </w:footnote>
  <w:footnote w:type="continuationSeparator" w:id="0">
    <w:p w:rsidR="00F64C82" w:rsidRDefault="00F64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101"/>
    <w:rsid w:val="008B6CFA"/>
    <w:rsid w:val="00AA1D8D"/>
    <w:rsid w:val="00B47730"/>
    <w:rsid w:val="00CB0664"/>
    <w:rsid w:val="00F64C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ABA39"/>
  <w14:defaultImageDpi w14:val="300"/>
  <w15:docId w15:val="{35063EB0-2103-457E-9D1A-A4690D26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55F08-7E67-47E7-8D88-A7B7E1BF0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2026-10-08T13:41:00Z</dcterms:modified>
  <cp:category/>
</cp:coreProperties>
</file>