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864"/>
          <w:sz w:val="30"/>
          <w:szCs w:val="30"/>
        </w:rPr>
        <w:t xml:space="preserve">Module 15 Reflection — Part 2: Week 4 Strategy</w:t>
      </w:r>
    </w:p>
    <w:p>
      <w:pPr>
        <w:spacing w:after="200" w:before="0"/>
        <w:jc w:val="center"/>
      </w:pPr>
      <w:r>
        <w:rPr>
          <w:rFonts w:ascii="Arial" w:cs="Arial" w:eastAsia="Arial" w:hAnsi="Arial"/>
          <w:i/>
          <w:iCs/>
          <w:color w:val="5D6D7E"/>
          <w:sz w:val="17"/>
          <w:szCs w:val="17"/>
        </w:rPr>
        <w:t xml:space="preserve">BBO Campaign | Imperial College London ML &amp; AI Capstone | Stage 2 Module 15.1</w:t>
      </w:r>
    </w:p>
    <w:p>
      <w:pPr>
        <w:pBdr>
          <w:left w:val="single" w:color="2E75B6" w:sz="14" w:space="6"/>
        </w:pBdr>
        <w:spacing w:after="80" w:before="220"/>
        <w:ind w:left="100"/>
      </w:pPr>
      <w:r>
        <w:rPr>
          <w:rFonts w:ascii="Arial" w:cs="Arial" w:eastAsia="Arial" w:hAnsi="Arial"/>
          <w:b/>
          <w:bCs/>
          <w:color w:val="1F3864"/>
          <w:sz w:val="22"/>
          <w:szCs w:val="22"/>
        </w:rPr>
        <w:t xml:space="preserve">Common methodology and changes across all eight functions</w:t>
      </w:r>
    </w:p>
    <w:p>
      <w:pPr>
        <w:spacing w:after="130" w:line="270" w:lineRule="auto"/>
      </w:pPr>
      <w:r>
        <w:rPr>
          <w:rFonts w:ascii="Arial" w:cs="Arial" w:eastAsia="Arial" w:hAnsi="Arial"/>
          <w:sz w:val="20"/>
          <w:szCs w:val="20"/>
        </w:rPr>
        <w:t xml:space="preserve">This week introduced several changes applied uniformly before any function-specific decisions:</w:t>
      </w:r>
    </w:p>
    <w:p>
      <w:pPr>
        <w:pStyle w:val="ListParagraph"/>
        <w:numPr>
          <w:ilvl w:val="0"/>
          <w:numId w:val="1"/>
        </w:numPr>
        <w:spacing w:after="80" w:line="264" w:lineRule="auto"/>
        <w:ind w:left="720" w:hanging="360"/>
      </w:pPr>
      <w:r>
        <w:rPr>
          <w:rFonts w:ascii="Arial" w:cs="Arial" w:eastAsia="Arial" w:hAnsi="Arial"/>
          <w:sz w:val="20"/>
          <w:szCs w:val="20"/>
        </w:rPr>
        <w:t xml:space="preserve">Sobol quasi-random sequences replaced Latin Hypercube Sampling, reducing UCB variance</w:t>
      </w:r>
    </w:p>
    <w:p>
      <w:pPr>
        <w:pStyle w:val="ListParagraph"/>
        <w:numPr>
          <w:ilvl w:val="0"/>
          <w:numId w:val="1"/>
        </w:numPr>
        <w:spacing w:after="80" w:line="264" w:lineRule="auto"/>
        <w:ind w:left="720" w:hanging="360"/>
      </w:pPr>
      <w:r>
        <w:rPr>
          <w:rFonts w:ascii="Arial" w:cs="Arial" w:eastAsia="Arial" w:hAnsi="Arial"/>
          <w:sz w:val="20"/>
          <w:szCs w:val="20"/>
        </w:rPr>
        <w:t xml:space="preserve">Four kernels compared per function on the full dataset (n=13–44): RBF, Matern-3/2, Matern-5/2, Mixture RBF; selected by leave-one-out Q2</w:t>
      </w:r>
    </w:p>
    <w:p>
      <w:pPr>
        <w:pStyle w:val="ListParagraph"/>
        <w:numPr>
          <w:ilvl w:val="0"/>
          <w:numId w:val="1"/>
        </w:numPr>
        <w:spacing w:after="80" w:line="264" w:lineRule="auto"/>
        <w:ind w:left="720" w:hanging="360"/>
      </w:pPr>
      <w:r>
        <w:rPr>
          <w:rFonts w:ascii="Arial" w:cs="Arial" w:eastAsia="Arial" w:hAnsi="Arial"/>
          <w:sz w:val="20"/>
          <w:szCs w:val="20"/>
        </w:rPr>
        <w:t xml:space="preserve">Expected Improvement and Probability of Improvement tested alongside UCB for exploitation-phase functions</w:t>
      </w:r>
    </w:p>
    <w:p>
      <w:pPr>
        <w:pStyle w:val="ListParagraph"/>
        <w:numPr>
          <w:ilvl w:val="0"/>
          <w:numId w:val="1"/>
        </w:numPr>
        <w:spacing w:after="80" w:line="264" w:lineRule="auto"/>
        <w:ind w:left="720" w:hanging="360"/>
      </w:pPr>
      <w:r>
        <w:rPr>
          <w:rFonts w:ascii="Arial" w:cs="Arial" w:eastAsia="Arial" w:hAnsi="Arial"/>
          <w:sz w:val="20"/>
          <w:szCs w:val="20"/>
        </w:rPr>
        <w:t xml:space="preserve">Gradient ascent applied as a refinement step on the Sobol argmax</w:t>
      </w:r>
    </w:p>
    <w:p>
      <w:pPr>
        <w:pStyle w:val="ListParagraph"/>
        <w:numPr>
          <w:ilvl w:val="0"/>
          <w:numId w:val="1"/>
        </w:numPr>
        <w:spacing w:after="80" w:line="264" w:lineRule="auto"/>
        <w:ind w:left="720" w:hanging="360"/>
      </w:pPr>
      <w:r>
        <w:rPr>
          <w:rFonts w:ascii="Arial" w:cs="Arial" w:eastAsia="Arial" w:hAnsi="Arial"/>
          <w:sz w:val="20"/>
          <w:szCs w:val="20"/>
        </w:rPr>
        <w:t xml:space="preserve">Trust regions (symmetric L2 balls around current best) evaluated for all eight functions</w:t>
      </w:r>
    </w:p>
    <w:p>
      <w:pPr>
        <w:pStyle w:val="ListParagraph"/>
        <w:numPr>
          <w:ilvl w:val="0"/>
          <w:numId w:val="1"/>
        </w:numPr>
        <w:spacing w:after="80" w:line="264" w:lineRule="auto"/>
        <w:ind w:left="720" w:hanging="360"/>
      </w:pPr>
      <w:r>
        <w:rPr>
          <w:rFonts w:ascii="Arial" w:cs="Arial" w:eastAsia="Arial" w:hAnsi="Arial"/>
          <w:sz w:val="20"/>
          <w:szCs w:val="20"/>
        </w:rPr>
        <w:t xml:space="preserve">GP used as surrogate throughout: provides exact posterior mean and calibrated uncertainty in closed form; a neural network requires dropout or ensemble uncertainty estimation which needs substantially more data</w:t>
      </w:r>
    </w:p>
    <w:p>
      <w:pPr>
        <w:pStyle w:val="ListParagraph"/>
        <w:numPr>
          <w:ilvl w:val="0"/>
          <w:numId w:val="1"/>
        </w:numPr>
        <w:spacing w:after="80" w:line="264" w:lineRule="auto"/>
        <w:ind w:left="720" w:hanging="360"/>
      </w:pPr>
      <w:r>
        <w:rPr>
          <w:rFonts w:ascii="Arial" w:cs="Arial" w:eastAsia="Arial" w:hAnsi="Arial"/>
          <w:sz w:val="20"/>
          <w:szCs w:val="20"/>
        </w:rPr>
        <w:t xml:space="preserve">Key structural changes: Mixture RBF for F4 (Q2 gap 0.286), trust regions for F3 and F8, regression for F6 (first clean four-gate pass, R2=0.738), model-free 4-corners for F1</w:t>
      </w:r>
    </w:p>
    <w:p>
      <w:pPr>
        <w:spacing w:after="60"/>
      </w:pPr>
    </w:p>
    <w:p>
      <w:pPr>
        <w:pBdr>
          <w:left w:val="single" w:color="2E75B6" w:sz="14" w:space="6"/>
        </w:pBdr>
        <w:spacing w:after="80" w:before="220"/>
        <w:ind w:left="100"/>
      </w:pPr>
      <w:r>
        <w:rPr>
          <w:rFonts w:ascii="Arial" w:cs="Arial" w:eastAsia="Arial" w:hAnsi="Arial"/>
          <w:b/>
          <w:bCs/>
          <w:color w:val="1F3864"/>
          <w:sz w:val="22"/>
          <w:szCs w:val="22"/>
        </w:rPr>
        <w:t xml:space="preserve">Support vectors and regions of rapid change</w:t>
      </w:r>
    </w:p>
    <w:p>
      <w:pPr>
        <w:spacing w:after="130" w:line="270" w:lineRule="auto"/>
      </w:pPr>
      <w:r>
        <w:rPr>
          <w:rFonts w:ascii="Arial" w:cs="Arial" w:eastAsia="Arial" w:hAnsi="Arial"/>
          <w:sz w:val="20"/>
          <w:szCs w:val="20"/>
        </w:rPr>
        <w:t xml:space="preserve">In SVM classification, support vectors are the observations closest to the decision boundary — points that, if moved, would shift the margin itself. Three functions produced the clearest analogues this round. F1 and F2 remain GP-ineligible with no structural boundary identified yet; F5 shows a smooth continuous gradient rather than a cliff; F3 and F6 have softer signals addressed in the classification section below.</w:t>
      </w:r>
    </w:p>
    <w:p>
      <w:pPr>
        <w:pStyle w:val="ListParagraph"/>
        <w:numPr>
          <w:ilvl w:val="0"/>
          <w:numId w:val="1"/>
        </w:numPr>
        <w:spacing w:after="80" w:line="264" w:lineRule="auto"/>
        <w:ind w:left="720" w:hanging="360"/>
      </w:pPr>
      <w:r>
        <w:rPr>
          <w:rFonts w:ascii="Arial" w:cs="Arial" w:eastAsia="Arial" w:hAnsi="Arial"/>
          <w:sz w:val="20"/>
          <w:szCs w:val="20"/>
        </w:rPr>
        <w:t xml:space="preserve">F4 (clearest case): Week 2 returned +0.390; Week 3 moved L2=0.059 and returned -0.967, a drop of 1.357. Two observations 0.06 apart in input space differ by 1.35 in output — exactly like points straddling a support vector margin. Response: step-floor L2=0.097 with gradient ascent, staying on the correct side of the ridge.</w:t>
      </w:r>
    </w:p>
    <w:p>
      <w:pPr>
        <w:pStyle w:val="ListParagraph"/>
        <w:numPr>
          <w:ilvl w:val="0"/>
          <w:numId w:val="1"/>
        </w:numPr>
        <w:spacing w:after="80" w:line="264" w:lineRule="auto"/>
        <w:ind w:left="720" w:hanging="360"/>
      </w:pPr>
      <w:r>
        <w:rPr>
          <w:rFonts w:ascii="Arial" w:cs="Arial" w:eastAsia="Arial" w:hAnsi="Arial"/>
          <w:sz w:val="20"/>
          <w:szCs w:val="20"/>
        </w:rPr>
        <w:t xml:space="preserve">F7: x1 below 0.06 and x6 above 0.72 define the high-performing region. Drifting from those thresholds produces backward results. The threshold pattern behaves like a classifier margin; Week 4 anchors at x1=0.008, x6=0.760.</w:t>
      </w:r>
    </w:p>
    <w:p>
      <w:pPr>
        <w:pStyle w:val="ListParagraph"/>
        <w:numPr>
          <w:ilvl w:val="0"/>
          <w:numId w:val="1"/>
        </w:numPr>
        <w:spacing w:after="80" w:line="264" w:lineRule="auto"/>
        <w:ind w:left="720" w:hanging="360"/>
      </w:pPr>
      <w:r>
        <w:rPr>
          <w:rFonts w:ascii="Arial" w:cs="Arial" w:eastAsia="Arial" w:hAnsi="Arial"/>
          <w:sz w:val="20"/>
          <w:szCs w:val="20"/>
        </w:rPr>
        <w:t xml:space="preserve">F8: the trust region of radius 0.40 around the Week 3 best is the direct analogue. UCB and EI both identified the same query inside the ball, equivalent to two independent classifiers agreeing on the same decision boundary.</w:t>
      </w:r>
    </w:p>
    <w:p>
      <w:pPr>
        <w:spacing w:after="60"/>
      </w:pPr>
    </w:p>
    <w:p>
      <w:pPr>
        <w:pBdr>
          <w:left w:val="single" w:color="2E75B6" w:sz="14" w:space="6"/>
        </w:pBdr>
        <w:spacing w:after="80" w:before="220"/>
        <w:ind w:left="100"/>
      </w:pPr>
      <w:r>
        <w:rPr>
          <w:rFonts w:ascii="Arial" w:cs="Arial" w:eastAsia="Arial" w:hAnsi="Arial"/>
          <w:b/>
          <w:bCs/>
          <w:color w:val="1F3864"/>
          <w:sz w:val="22"/>
          <w:szCs w:val="22"/>
        </w:rPr>
        <w:t xml:space="preserve">Gradient direction and greatest influence on predictions</w:t>
      </w:r>
    </w:p>
    <w:p>
      <w:pPr>
        <w:spacing w:after="130" w:line="270" w:lineRule="auto"/>
      </w:pPr>
      <w:r>
        <w:rPr>
          <w:rFonts w:ascii="Arial" w:cs="Arial" w:eastAsia="Arial" w:hAnsi="Arial"/>
          <w:sz w:val="20"/>
          <w:szCs w:val="20"/>
        </w:rPr>
        <w:t xml:space="preserve">Finite differences of the GP posterior mean at each function's best observed point provide local gradients, analogous to backpropagation on a surrogate. F1 and F2 are GP-ineligible so gradient estimates carry no signal. F4's gradient is contradicted by the W3 collapse — the model points one direction, the portal returned the opposite — which is why exploration rather than gradient-following was chosen. F3 has Q2=0.011, making gradient estimates too uncertain to act on. For F6, the regression coefficients are the gradient: x1 negative (p=0.030), x4 positive (p=0.014), x5 negative (p=0.001). The three functions where GP-based gradients are reliable and actionable are:</w:t>
      </w:r>
    </w:p>
    <w:p>
      <w:pPr>
        <w:pStyle w:val="ListParagraph"/>
        <w:numPr>
          <w:ilvl w:val="0"/>
          <w:numId w:val="1"/>
        </w:numPr>
        <w:spacing w:after="80" w:line="264" w:lineRule="auto"/>
        <w:ind w:left="720" w:hanging="360"/>
      </w:pPr>
      <w:r>
        <w:rPr>
          <w:rFonts w:ascii="Arial" w:cs="Arial" w:eastAsia="Arial" w:hAnsi="Arial"/>
          <w:sz w:val="20"/>
          <w:szCs w:val="20"/>
        </w:rPr>
        <w:t xml:space="preserve">F5: d(mu)/dx1=+3.95 and d(mu)/dx4=+1.34 at the Week 3 best; both confirm continued headroom toward the ceiling, supporting the Week 4 push to x2/x3/x4 above 0.95</w:t>
      </w:r>
    </w:p>
    <w:p>
      <w:pPr>
        <w:pStyle w:val="ListParagraph"/>
        <w:numPr>
          <w:ilvl w:val="0"/>
          <w:numId w:val="1"/>
        </w:numPr>
        <w:spacing w:after="80" w:line="264" w:lineRule="auto"/>
        <w:ind w:left="720" w:hanging="360"/>
      </w:pPr>
      <w:r>
        <w:rPr>
          <w:rFonts w:ascii="Arial" w:cs="Arial" w:eastAsia="Arial" w:hAnsi="Arial"/>
          <w:sz w:val="20"/>
          <w:szCs w:val="20"/>
        </w:rPr>
        <w:t xml:space="preserve">F7: gradient ascent improved UCB from 3.117 to 3.423, confirming x1-low and x6-high as the steepest and most reliable directions</w:t>
      </w:r>
    </w:p>
    <w:p>
      <w:pPr>
        <w:pStyle w:val="ListParagraph"/>
        <w:numPr>
          <w:ilvl w:val="0"/>
          <w:numId w:val="1"/>
        </w:numPr>
        <w:spacing w:after="80" w:line="264" w:lineRule="auto"/>
        <w:ind w:left="720" w:hanging="360"/>
      </w:pPr>
      <w:r>
        <w:rPr>
          <w:rFonts w:ascii="Arial" w:cs="Arial" w:eastAsia="Arial" w:hAnsi="Arial"/>
          <w:sz w:val="20"/>
          <w:szCs w:val="20"/>
        </w:rPr>
        <w:t xml:space="preserve">F8: x1 and x3 are dominant negative drivers (Pearson r approximately -0.65 each, confirmed across four rounds); Week 4 targets x1=0.044 and x3=0.184</w:t>
      </w:r>
    </w:p>
    <w:p>
      <w:pPr>
        <w:spacing w:after="60"/>
      </w:pPr>
    </w:p>
    <w:p>
      <w:pPr>
        <w:pBdr>
          <w:left w:val="single" w:color="2E75B6" w:sz="14" w:space="6"/>
        </w:pBdr>
        <w:spacing w:after="80" w:before="220"/>
        <w:ind w:left="100"/>
      </w:pPr>
      <w:r>
        <w:rPr>
          <w:rFonts w:ascii="Arial" w:cs="Arial" w:eastAsia="Arial" w:hAnsi="Arial"/>
          <w:b/>
          <w:bCs/>
          <w:color w:val="1F3864"/>
          <w:sz w:val="22"/>
          <w:szCs w:val="22"/>
        </w:rPr>
        <w:t xml:space="preserve">Classification framing, model choice, and decision boundary</w:t>
      </w:r>
    </w:p>
    <w:p>
      <w:pPr>
        <w:spacing w:after="130" w:line="270" w:lineRule="auto"/>
      </w:pPr>
      <w:r>
        <w:rPr>
          <w:rFonts w:ascii="Arial" w:cs="Arial" w:eastAsia="Arial" w:hAnsi="Arial"/>
          <w:sz w:val="20"/>
          <w:szCs w:val="20"/>
        </w:rPr>
        <w:t xml:space="preserve">Binary framing (above current best = good, below = bad) structured query decisions across all eight functions, with the approach varying by where each function sits in terms of model reliability and direction clarity. For F1 and F2, where the GP is ineligible and no boundary has yet been located, the framing simply informs the coverage strategy — model-free 4-corners for F1 and continued GP-UCB exploration for F2. For F3, the trust region of radius 0.20 around the W2 best produced the first positive predicted improvement, meaning the boundary between above and below -0.022 is now locatable in a narrow neighbourhood. For F4, the boundary is the narrow ridge confirmed by the Mixture RBF kernel at Q2=0.976; the step-floor constraint manages the margin directly by enforcing minimum distance from the known failure point.</w:t>
      </w:r>
    </w:p>
    <w:p>
      <w:pPr>
        <w:spacing w:after="130" w:line="270" w:lineRule="auto"/>
      </w:pPr>
      <w:r>
        <w:rPr>
          <w:rFonts w:ascii="Arial" w:cs="Arial" w:eastAsia="Arial" w:hAnsi="Arial"/>
          <w:sz w:val="20"/>
          <w:szCs w:val="20"/>
        </w:rPr>
        <w:t xml:space="preserve">For F5, UCB, EI, and PI all found the identical query — three independent acquisition functions agreeing is the strongest available evidence that the boundary in the high-x2/x3/x4 region is well-identified. For F7, gradient ascent confirmed which side of the boundary the W2 basin occupies; seeds were structurally unstable (avg pairwise distance 0.262), consistent with a multi-modal surface where multiple local boundaries compete. For F8, UCB and EI converged on the identical query within the trust region. The radius of 0.40 was the balance point for the misclassification/exploration trade-off: tighter stays firmly on the confirmed good side but sacrifices exploration; wider risks marginal candidates. At n=43 with Q2=0.915, 0.40 is defensible.</w:t>
      </w:r>
    </w:p>
    <w:p>
      <w:pPr>
        <w:spacing w:after="130" w:line="270" w:lineRule="auto"/>
      </w:pPr>
      <w:r>
        <w:rPr>
          <w:rFonts w:ascii="Arial" w:cs="Arial" w:eastAsia="Arial" w:hAnsi="Arial"/>
          <w:sz w:val="20"/>
          <w:szCs w:val="20"/>
        </w:rPr>
        <w:t xml:space="preserve">For F6, regression (R2=0.738) defines the boundary explicitly as a linear decision surface: x1 negative (p=0.030), x4 positive (p=0.014), x5 negative (p=0.001). Linear regression was the most appropriate model — interpretable, verifiable, and sufficient for a near-linear surface. An SVM would introduce a margin but lose coefficient-level directional clarity; a neural network would be uninterpretable at n=23. A neural network was not used as the surrogate at any stage across the portfolio. GP finite differences serve the same diagnostic purpose as backpropagation — identifying which inputs move the predicted boundary most steeply — without requiring ensemble uncertainty methods that would be unreliable at these sample sizes.</w:t>
      </w:r>
    </w:p>
    <w:p>
      <w:pPr>
        <w:spacing w:after="60"/>
      </w:pPr>
    </w:p>
    <w:p>
      <w:pPr>
        <w:pBdr>
          <w:left w:val="single" w:color="2E75B6" w:sz="14" w:space="6"/>
        </w:pBdr>
        <w:spacing w:after="80" w:before="220"/>
        <w:ind w:left="100"/>
      </w:pPr>
      <w:r>
        <w:rPr>
          <w:rFonts w:ascii="Arial" w:cs="Arial" w:eastAsia="Arial" w:hAnsi="Arial"/>
          <w:b/>
          <w:bCs/>
          <w:color w:val="1F3864"/>
          <w:sz w:val="22"/>
          <w:szCs w:val="22"/>
        </w:rPr>
        <w:t xml:space="preserve">Non-linearity: how the setup handled it</w:t>
      </w:r>
    </w:p>
    <w:p>
      <w:pPr>
        <w:spacing w:after="130" w:line="270" w:lineRule="auto"/>
      </w:pPr>
      <w:r>
        <w:rPr>
          <w:rFonts w:ascii="Arial" w:cs="Arial" w:eastAsia="Arial" w:hAnsi="Arial"/>
          <w:sz w:val="20"/>
          <w:szCs w:val="20"/>
        </w:rPr>
        <w:t xml:space="preserve">Non-linearity is handled through kernel selection, not model architecture. Where regression passes all four gates (F6 this week), it is used. Mixture RBF for F4 (Q2 from 0.690 to 0.976) captured a two-scale ridge that a single kernel could not. Matern-5/2 added modest gains for F5 and F7. RBF won for F8 at Q2=0.915, reflecting a smooth hyperparameter surface. Added kernel complexity is justified only when the LOO Q2 gain exceeds 0.05; otherwise the simpler kernel is retained.</w:t>
      </w:r>
    </w:p>
    <w:sectPr>
      <w:pgSz w:w="11906" w:h="16838" w:orient="portrait"/>
      <w:pgMar w:top="720" w:right="1000" w:bottom="7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2026-07-02T17:50:48.636Z</dcterms:created>
  <dcterms:modified xsi:type="dcterms:W3CDTF">2026-07-02T17:50:48.649Z</dcterms:modified>
</cp:coreProperties>
</file>

<file path=docProps/custom.xml><?xml version="1.0" encoding="utf-8"?>
<Properties xmlns="http://schemas.openxmlformats.org/officeDocument/2006/custom-properties" xmlns:vt="http://schemas.openxmlformats.org/officeDocument/2006/docPropsVTypes"/>
</file>