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28"/>
          <w:szCs w:val="28"/>
        </w:rPr>
        <w:t xml:space="preserve">Module 15.2 Section B — Neural Network Hyperparameters and the BBO Campaign</w:t>
      </w:r>
    </w:p>
    <w:p>
      <w:pPr>
        <w:spacing w:after="200" w:before="0"/>
        <w:jc w:val="center"/>
      </w:pPr>
      <w:r>
        <w:rPr>
          <w:rFonts w:ascii="Arial" w:cs="Arial" w:eastAsia="Arial" w:hAnsi="Arial"/>
          <w:i/>
          <w:iCs/>
          <w:color w:val="5D6D7E"/>
          <w:sz w:val="17"/>
          <w:szCs w:val="17"/>
        </w:rPr>
        <w:t xml:space="preserve">Imperial College London — ML &amp; AI Capstone | Stage 2 | Under 700 words</w:t>
      </w:r>
    </w:p>
    <w:p>
      <w:pPr>
        <w:pBdr>
          <w:left w:val="single" w:color="2E75B6" w:sz="14" w:space="6"/>
        </w:pBdr>
        <w:spacing w:after="80" w:before="220"/>
        <w:ind w:left="100"/>
      </w:pPr>
      <w:r>
        <w:rPr>
          <w:rFonts w:ascii="Arial" w:cs="Arial" w:eastAsia="Arial" w:hAnsi="Arial"/>
          <w:b/>
          <w:bCs/>
          <w:color w:val="1F3864"/>
          <w:sz w:val="22"/>
          <w:szCs w:val="22"/>
        </w:rPr>
        <w:t xml:space="preserve">1. Hyperparameter effects on convergence and performance</w:t>
      </w:r>
    </w:p>
    <w:p>
      <w:pPr>
        <w:spacing w:after="130" w:line="270" w:lineRule="auto"/>
      </w:pPr>
      <w:r>
        <w:rPr>
          <w:rFonts w:ascii="Arial" w:cs="Arial" w:eastAsia="Arial" w:hAnsi="Arial"/>
          <w:sz w:val="20"/>
          <w:szCs w:val="20"/>
        </w:rPr>
        <w:t xml:space="preserve">F8 in the BBO campaign is explicitly a neural network architecture tuning problem. Its eight inputs are network hyperparameters: learning rate, batch size, dropout rate, number of layers, activation function encoding, optimiser type, regularisation strength, and weight initialisation range. Four rounds of data have confirmed x1 (most likely learning rate) and x3 (most likely dropout) as the dominant negative drivers, with Pearson r approximately -0.65 for each.</w:t>
      </w:r>
    </w:p>
    <w:p>
      <w:pPr>
        <w:spacing w:after="130" w:line="270" w:lineRule="auto"/>
      </w:pPr>
      <w:r>
        <w:rPr>
          <w:rFonts w:ascii="Arial" w:cs="Arial" w:eastAsia="Arial" w:hAnsi="Arial"/>
          <w:sz w:val="20"/>
          <w:szCs w:val="20"/>
        </w:rPr>
        <w:t xml:space="preserve">These findings are consistent with well-established effects. A high learning rate causes training to overshoot minima, producing oscillation or divergence rather than stable convergence — which explains why pushing x1 toward zero consistently improves the output score. A high dropout rate removes too many activations per pass, causing the network to underfit and fail to capture the patterns needed for good validation accuracy — which explains why pushing x3 downward also helps. The Week 4 query targets x1=0.044 and x3=0.184, both at the lower end of the search space, consistent with a well-regularised network training stably rather than aggressively.</w:t>
      </w:r>
    </w:p>
    <w:p>
      <w:pPr>
        <w:spacing w:after="130" w:line="270" w:lineRule="auto"/>
      </w:pPr>
      <w:r>
        <w:rPr>
          <w:rFonts w:ascii="Arial" w:cs="Arial" w:eastAsia="Arial" w:hAnsi="Arial"/>
          <w:sz w:val="20"/>
          <w:szCs w:val="20"/>
        </w:rPr>
        <w:t xml:space="preserve">F7 offers a complementary observation. As a six-dimensional ML hyperparameter tuning problem, only x1 and x6 carry statistically meaningful signal across 33 observations. The other four dimensions are neutral. This reflects a common finding in hyperparameter search: a small number of parameters drive most of the variance in model performance, while others have negligible effect within typical ranges. Knowing which parameters matter is as useful as knowing in which direction to move them.</w:t>
      </w:r>
    </w:p>
    <w:p>
      <w:pPr>
        <w:spacing w:after="60"/>
      </w:pPr>
    </w:p>
    <w:p>
      <w:pPr>
        <w:pBdr>
          <w:left w:val="single" w:color="2E75B6" w:sz="14" w:space="6"/>
        </w:pBdr>
        <w:spacing w:after="80" w:before="220"/>
        <w:ind w:left="100"/>
      </w:pPr>
      <w:r>
        <w:rPr>
          <w:rFonts w:ascii="Arial" w:cs="Arial" w:eastAsia="Arial" w:hAnsi="Arial"/>
          <w:b/>
          <w:bCs/>
          <w:color w:val="1F3864"/>
          <w:sz w:val="22"/>
          <w:szCs w:val="22"/>
        </w:rPr>
        <w:t xml:space="preserve">2. Discrete versus continuous hyperparameters</w:t>
      </w:r>
    </w:p>
    <w:p>
      <w:pPr>
        <w:spacing w:after="130" w:line="270" w:lineRule="auto"/>
      </w:pPr>
      <w:r>
        <w:rPr>
          <w:rFonts w:ascii="Arial" w:cs="Arial" w:eastAsia="Arial" w:hAnsi="Arial"/>
          <w:sz w:val="20"/>
          <w:szCs w:val="20"/>
        </w:rPr>
        <w:t xml:space="preserve">Within F8, the eight inputs split clearly along this line. Continuous parameters include learning rate (x1), dropout rate (x3), regularisation strength (x7), and weight initialisation range (x8). These can in principle take any value within a range and are well-suited to gradient-based or GP-based optimisation, which assumes a smooth underlying response surface. Discrete parameters include batch size, number of layers, activation function encoding, and optimiser type. These take integer or categorical values; changing them produces structural changes in the network rather than smooth parameter shifts.</w:t>
      </w:r>
    </w:p>
    <w:p>
      <w:pPr>
        <w:spacing w:after="130" w:line="270" w:lineRule="auto"/>
      </w:pPr>
      <w:r>
        <w:rPr>
          <w:rFonts w:ascii="Arial" w:cs="Arial" w:eastAsia="Arial" w:hAnsi="Arial"/>
          <w:sz w:val="20"/>
          <w:szCs w:val="20"/>
        </w:rPr>
        <w:t xml:space="preserve">The distinction matters for tuning method. Continuous parameters sit naturally in the GP-UCB framework used across the campaign: the GP assumes a smooth surface, and Sobol candidate sampling covers the continuous space efficiently. Discrete parameters encoded as real numbers in [0,1] are treated as approximately continuous by the GP, which is a known approximation. In practice, rounding the final query value to the nearest valid discrete setting is the implicit step at submission. For a more rigorous treatment, a mixed-variable GP or random forest surrogate would handle the discontinuities explicitly.</w:t>
      </w:r>
    </w:p>
    <w:p>
      <w:pPr>
        <w:spacing w:after="60"/>
      </w:pPr>
    </w:p>
    <w:p>
      <w:pPr>
        <w:pBdr>
          <w:left w:val="single" w:color="2E75B6" w:sz="14" w:space="6"/>
        </w:pBdr>
        <w:spacing w:after="80" w:before="220"/>
        <w:ind w:left="100"/>
      </w:pPr>
      <w:r>
        <w:rPr>
          <w:rFonts w:ascii="Arial" w:cs="Arial" w:eastAsia="Arial" w:hAnsi="Arial"/>
          <w:b/>
          <w:bCs/>
          <w:color w:val="1F3864"/>
          <w:sz w:val="22"/>
          <w:szCs w:val="22"/>
        </w:rPr>
        <w:t xml:space="preserve">3. Applying BBO to neural network performance directly</w:t>
      </w:r>
    </w:p>
    <w:p>
      <w:pPr>
        <w:spacing w:after="130" w:line="270" w:lineRule="auto"/>
      </w:pPr>
      <w:r>
        <w:rPr>
          <w:rFonts w:ascii="Arial" w:cs="Arial" w:eastAsia="Arial" w:hAnsi="Arial"/>
          <w:sz w:val="20"/>
          <w:szCs w:val="20"/>
        </w:rPr>
        <w:t xml:space="preserve">The campaign answers this question in practice rather than in principle. F8 is the direct application of BBO to neural network performance optimisation. After 43 queries across the eight-dimensional hyperparameter space, the RBF GP surrogate (Q2=0.915) has built a reliable map of which configurations produce high validation accuracy, with the best known result at y=9.846.</w:t>
      </w:r>
    </w:p>
    <w:p>
      <w:pPr>
        <w:spacing w:after="130" w:line="270" w:lineRule="auto"/>
      </w:pPr>
      <w:r>
        <w:rPr>
          <w:rFonts w:ascii="Arial" w:cs="Arial" w:eastAsia="Arial" w:hAnsi="Arial"/>
          <w:sz w:val="20"/>
          <w:szCs w:val="20"/>
        </w:rPr>
        <w:t xml:space="preserve">The key insight from four rounds of F8 data is that the relationship between hyperparameters and validation accuracy is smooth enough for the RBF kernel to model it at Q2=0.915, with the fitted length scale reaching its upper bound of 1.0. This is consistent with neural network performance surfaces being generally smooth locally around good configurations, even if they are non-convex globally. The trust region approach in Week 4 exploits this smoothness: UCB and Expected Improvement both converge on the identical query within a ball of radius 0.40 around the Week 3 best, with predicted improvement of +0.108. Two acquisition functions agreeing within the trust region is the GP-based equivalent of multiple training runs converging on the same configuration.</w:t>
      </w:r>
    </w:p>
    <w:p>
      <w:pPr>
        <w:spacing w:after="130" w:line="270" w:lineRule="auto"/>
      </w:pPr>
      <w:r>
        <w:rPr>
          <w:rFonts w:ascii="Arial" w:cs="Arial" w:eastAsia="Arial" w:hAnsi="Arial"/>
          <w:sz w:val="20"/>
          <w:szCs w:val="20"/>
        </w:rPr>
        <w:t xml:space="preserve">The understanding that learning rate and dropout dominate, that most other parameters are neutral, and that the response surface is smooth in the relevant neighbourhood will shape subsequent queries. Rather than searching the full eight-dimensional space uniformly, the campaign can focus on the confirmed two-driver region while allowing the GP to guide the remaining dimensions with lower weight.</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2026-07-02T17:54:36.840Z</dcterms:created>
  <dcterms:modified xsi:type="dcterms:W3CDTF">2026-07-02T17:54:36.852Z</dcterms:modified>
</cp:coreProperties>
</file>

<file path=docProps/custom.xml><?xml version="1.0" encoding="utf-8"?>
<Properties xmlns="http://schemas.openxmlformats.org/officeDocument/2006/custom-properties" xmlns:vt="http://schemas.openxmlformats.org/officeDocument/2006/docPropsVTypes"/>
</file>