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before="0"/>
        <w:jc w:val="center"/>
      </w:pPr>
      <w:r>
        <w:rPr>
          <w:rFonts w:ascii="Calibri" w:cs="Calibri" w:eastAsia="Calibri" w:hAnsi="Calibri"/>
          <w:b/>
          <w:bCs/>
          <w:color w:val="1A237E"/>
          <w:sz w:val="44"/>
          <w:szCs w:val="44"/>
        </w:rPr>
        <w:t xml:space="preserve">AUTOMATED CREDIT RISK AUDIT TOOLKIT</w:t>
      </w:r>
    </w:p>
    <w:p>
      <w:pPr>
        <w:spacing w:after="120" w:before="0"/>
        <w:jc w:val="center"/>
      </w:pPr>
      <w:r>
        <w:rPr>
          <w:rFonts w:ascii="Calibri" w:cs="Calibri" w:eastAsia="Calibri" w:hAnsi="Calibri"/>
          <w:b/>
          <w:bCs/>
          <w:sz w:val="28"/>
          <w:szCs w:val="28"/>
        </w:rPr>
        <w:t xml:space="preserve">Model Documentation and Technical Reference</w:t>
      </w:r>
    </w:p>
    <w:p>
      <w:pPr>
        <w:spacing w:after="100" w:before="0"/>
        <w:jc w:val="center"/>
      </w:pPr>
      <w:r>
        <w:rPr>
          <w:rFonts w:ascii="Calibri" w:cs="Calibri" w:eastAsia="Calibri" w:hAnsi="Calibri"/>
          <w:i/>
          <w:iCs/>
          <w:sz w:val="22"/>
          <w:szCs w:val="22"/>
        </w:rPr>
        <w:t xml:space="preserve">Credit Distress Classifier with Quantitative Explainability Diagnostics</w:t>
      </w:r>
    </w:p>
    <w:p>
      <w:pPr>
        <w:spacing w:after="80" w:before="0"/>
        <w:jc w:val="center"/>
      </w:pPr>
      <w:r>
        <w:rPr>
          <w:rFonts w:ascii="Calibri" w:cs="Calibri" w:eastAsia="Calibri" w:hAnsi="Calibri"/>
          <w:sz w:val="21"/>
          <w:szCs w:val="21"/>
        </w:rPr>
        <w:t xml:space="preserve">Polish Companies Bankruptcy Dataset (UCI ID 365, Year 3 Cohort, 10,503 firms)</w:t>
      </w:r>
    </w:p>
    <w:p>
      <w:pPr>
        <w:jc w:val="center"/>
      </w:pPr>
      <w:r>
        <w:rPr>
          <w:rFonts w:ascii="Calibri" w:cs="Calibri" w:eastAsia="Calibri" w:hAnsi="Calibri"/>
          <w:i/>
          <w:iCs/>
          <w:color w:val="455A64"/>
          <w:sz w:val="20"/>
          <w:szCs w:val="20"/>
        </w:rPr>
        <w:t xml:space="preserve">Srini Rajasekaran | Imperial College London Professional Certificate in ML &amp; AI | August 2026</w:t>
      </w:r>
    </w:p>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2"/>
                <w:szCs w:val="22"/>
              </w:rPr>
              <w:t xml:space="preserve">PRIMARY MODEL</w:t>
            </w:r>
          </w:p>
        </w:tc>
        <w:tc>
          <w:tcPr>
            <w:tcW w:type="dxa" w:w="4500"/>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2"/>
                <w:szCs w:val="22"/>
              </w:rPr>
              <w:t xml:space="preserve">CHALLENGER MODEL</w:t>
            </w:r>
          </w:p>
        </w:tc>
      </w:tr>
      <w:tr>
        <w:tc>
          <w:tcPr>
            <w:tcW w:type="dxa" w:w="45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6"/>
                <w:szCs w:val="26"/>
              </w:rPr>
              <w:t xml:space="preserve">Logistic Regression (L2, C=0.1)</w:t>
            </w:r>
          </w:p>
        </w:tc>
        <w:tc>
          <w:tcPr>
            <w:tcW w:type="dxa" w:w="4500"/>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6"/>
                <w:szCs w:val="26"/>
              </w:rPr>
              <w:t xml:space="preserve">XGBoost (400 trees, depth 4)</w:t>
            </w:r>
          </w:p>
        </w:tc>
      </w:tr>
      <w:tr>
        <w:tc>
          <w:tcPr>
            <w:tcW w:type="dxa" w:w="4500"/>
            <w:shd w:fill="C8E6C9"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OOT AUC 0.9989 | FN=4 at CR=2:1
7-feature parsimonious spec validated</w:t>
            </w:r>
          </w:p>
        </w:tc>
        <w:tc>
          <w:tcPr>
            <w:tcW w:type="dxa" w:w="4500"/>
            <w:shd w:fill="FFF9C4"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OOT AUC 0.9978 | FN=30 at CR=2:1
SHAP controls mandatory if deployed</w:t>
            </w:r>
          </w:p>
        </w:tc>
      </w:tr>
    </w:tbl>
    <w:p>
      <w:pPr>
        <w:pageBreakBefore/>
      </w:pPr>
      <w:r>
        <w:br/>
      </w:r>
    </w:p>
    <w:p>
      <w:pPr>
        <w:pStyle w:val="Heading1"/>
        <w:pBdr>
          <w:bottom w:val="single" w:color="CCCCCC" w:sz="6"/>
        </w:pBdr>
        <w:spacing w:after="120" w:before="320"/>
      </w:pPr>
      <w:r>
        <w:rPr>
          <w:rFonts w:ascii="Calibri" w:cs="Calibri" w:eastAsia="Calibri" w:hAnsi="Calibri"/>
          <w:b/>
          <w:bCs/>
          <w:color w:val="1A237E"/>
          <w:sz w:val="30"/>
          <w:szCs w:val="30"/>
        </w:rPr>
        <w:t xml:space="preserve">1. Model Purpose and Governance Context</w:t>
      </w:r>
    </w:p>
    <w:p>
      <w:pPr>
        <w:spacing w:after="80" w:before="60"/>
      </w:pPr>
      <w:r>
        <w:rPr>
          <w:rFonts w:ascii="Calibri" w:cs="Calibri" w:eastAsia="Calibri" w:hAnsi="Calibri"/>
          <w:sz w:val="21"/>
          <w:szCs w:val="21"/>
        </w:rPr>
        <w:t xml:space="preserve">This toolkit was developed as a capstone project for the Imperial College London Professional Certificate in Machine Learning and Artificial Intelligence. The classifier is a credit distress classifier — it scores point-in-time financial statements rather than predicting a future default horizon — embedded within an audit framework that operationalises the independent challenge function required under SR 11-7, PRA SS1/23, and the EU AI Act.</w:t>
      </w:r>
    </w:p>
    <w:p>
      <w:pPr>
        <w:spacing w:after="80" w:before="60"/>
      </w:pPr>
      <w:r>
        <w:rPr>
          <w:rFonts w:ascii="Calibri" w:cs="Calibri" w:eastAsia="Calibri" w:hAnsi="Calibri"/>
          <w:sz w:val="21"/>
          <w:szCs w:val="21"/>
        </w:rPr>
        <w:t xml:space="preserve">The toolkit's primary contribution is not the classifier itself — logistic regression for credit scoring is well-established. The contribution is the explainability diagnostic framework that wraps it: quantitative, threshold-based, regulator-aligned audit findings that constitute evidence, not charts. The finding that SHAP agrees with LR coefficients (rho=0.93, p&lt;0.0001) is itself a governance finding: it demonstrates that the credit relationships in this dataset are near-linearly separable, and that XGBoost's complexity is not justified by the data.</w:t>
      </w: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2. Dataset and Partitioning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Parameter</w:t>
            </w:r>
          </w:p>
        </w:tc>
        <w:tc>
          <w:tcPr>
            <w:tcW w:type="dxa" w:w="62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Detail</w:t>
            </w:r>
          </w:p>
        </w:tc>
      </w:tr>
      <w:tr>
        <w:tc>
          <w:tcPr>
            <w:tcW w:type="dxa" w:w="28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Dataset</w:t>
            </w:r>
          </w:p>
        </w:tc>
        <w:tc>
          <w:tcPr>
            <w:tcW w:type="dxa" w:w="6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Polish Companies Bankruptcy Dataset, UCI ID 365, Year 3 cohort</w:t>
            </w:r>
          </w:p>
        </w:tc>
      </w:tr>
      <w:tr>
        <w:tc>
          <w:tcPr>
            <w:tcW w:type="dxa" w:w="28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Population</w:t>
            </w:r>
          </w:p>
        </w:tc>
        <w:tc>
          <w:tcPr>
            <w:tcW w:type="dxa" w:w="6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10,503 firms | 517 bankrupt (4.92%) | 9,986 solvent</w:t>
            </w:r>
          </w:p>
        </w:tc>
      </w:tr>
      <w:tr>
        <w:tc>
          <w:tcPr>
            <w:tcW w:type="dxa" w:w="28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Feature set</w:t>
            </w:r>
          </w:p>
        </w:tc>
        <w:tc>
          <w:tcPr>
            <w:tcW w:type="dxa" w:w="6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14 curated financial ratios across 5 credit categories + MNAR binary indicators for features &gt;5% missing</w:t>
            </w:r>
          </w:p>
        </w:tc>
      </w:tr>
      <w:tr>
        <w:tc>
          <w:tcPr>
            <w:tcW w:type="dxa" w:w="28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OOT partition</w:t>
            </w:r>
          </w:p>
        </w:tc>
        <w:tc>
          <w:tcPr>
            <w:tcW w:type="dxa" w:w="6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Top-quartile composite distress score (pseudo-OOT): 2,627 firms (18.1% bankrupt). Bottom three quartiles: 7,876 training firms (0.5% bankrupt)</w:t>
            </w:r>
          </w:p>
        </w:tc>
      </w:tr>
      <w:tr>
        <w:tc>
          <w:tcPr>
            <w:tcW w:type="dxa" w:w="28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Limitation</w:t>
            </w:r>
          </w:p>
        </w:tc>
        <w:tc>
          <w:tcPr>
            <w:tcW w:type="dxa" w:w="6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UCI Year 3 file only — no true calendar temporal split possible without the full 5-year cohort. OOT proxy is explicitly documented.</w:t>
            </w:r>
          </w:p>
        </w:tc>
      </w:tr>
    </w:tbl>
    <w:p>
      <w:pPr>
        <w:spacing w:before="80"/>
      </w:pP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3. Model Selection — Evidence Summary</w:t>
      </w:r>
    </w:p>
    <w:p>
      <w:pPr>
        <w:spacing w:after="80" w:before="60"/>
      </w:pPr>
      <w:r>
        <w:rPr>
          <w:rFonts w:ascii="Calibri" w:cs="Calibri" w:eastAsia="Calibri" w:hAnsi="Calibri"/>
          <w:sz w:val="21"/>
          <w:szCs w:val="21"/>
        </w:rPr>
        <w:t xml:space="preserve">Model selection was conducted across four independent test dimensions. LR was selected as primary model. The selection is data-driven, not convention-driven.</w:t>
      </w:r>
    </w:p>
    <w:p>
      <w:pPr>
        <w:pStyle w:val="Heading2"/>
        <w:spacing w:after="100" w:before="240"/>
      </w:pPr>
      <w:r>
        <w:rPr>
          <w:rFonts w:ascii="Calibri" w:cs="Calibri" w:eastAsia="Calibri" w:hAnsi="Calibri"/>
          <w:b/>
          <w:bCs/>
          <w:color w:val="1565C0"/>
          <w:sz w:val="24"/>
          <w:szCs w:val="24"/>
        </w:rPr>
        <w:t xml:space="preserve">3.1 Primary Criterion: Asymmetric Credit Loss Function</w:t>
      </w:r>
    </w:p>
    <w:p>
      <w:pPr>
        <w:spacing w:after="80" w:before="60"/>
      </w:pPr>
      <w:r>
        <w:rPr>
          <w:rFonts w:ascii="Calibri" w:cs="Calibri" w:eastAsia="Calibri" w:hAnsi="Calibri"/>
          <w:sz w:val="21"/>
          <w:szCs w:val="21"/>
        </w:rPr>
        <w:t xml:space="preserve">Total Loss = C_FN × FN + C_FP × FP. Both models evaluated at their optimal threshold for each cost ratio.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000"/>
        <w:gridCol w:w="1100"/>
        <w:gridCol w:w="1000"/>
        <w:gridCol w:w="1000"/>
        <w:gridCol w:w="1100"/>
      </w:tblGrid>
      <w:tr>
        <w:trPr>
          <w:tblHeader/>
        </w:trPr>
        <w:tc>
          <w:tcPr>
            <w:tcW w:type="dxa" w:w="14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Cost Ratio</w:t>
            </w:r>
          </w:p>
        </w:tc>
        <w:tc>
          <w:tcPr>
            <w:tcW w:type="dxa" w:w="13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Threshold</w:t>
            </w:r>
          </w:p>
        </w:tc>
        <w:tc>
          <w:tcPr>
            <w:tcW w:type="dxa" w:w="11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LR FN</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LR Loss</w:t>
            </w:r>
          </w:p>
        </w:tc>
        <w:tc>
          <w:tcPr>
            <w:tcW w:type="dxa" w:w="11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XGB FN</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XGB Loss</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7-feat LR FN</w:t>
            </w:r>
          </w:p>
        </w:tc>
        <w:tc>
          <w:tcPr>
            <w:tcW w:type="dxa" w:w="11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Winner</w:t>
            </w:r>
          </w:p>
        </w:tc>
      </w:tr>
      <w:tr>
        <w:tc>
          <w:tcPr>
            <w:shd w:fill="F5F5F5"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2:1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33.3%</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4</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63</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30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73</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5</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shd w:fill="F5F5F5"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5:1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16.7%</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2</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109</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22</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128</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7</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shd w:fill="F5F5F5"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10:1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9.1%</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1</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162</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17</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192</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9</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shd w:fill="F5F5F5"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20:1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4.8%</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246</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8</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197</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12</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0"/>
                <w:szCs w:val="20"/>
              </w:rPr>
              <w:t xml:space="preserve">XGBoost</w:t>
            </w:r>
          </w:p>
        </w:tc>
      </w:tr>
      <w:tr>
        <w:tc>
          <w:tcPr>
            <w:shd w:fill="F5F5F5"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50:1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2.0%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378</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5</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314</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18</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0"/>
                <w:szCs w:val="20"/>
              </w:rPr>
              <w:t xml:space="preserve">XGBoost</w:t>
            </w:r>
          </w:p>
        </w:tc>
      </w:tr>
    </w:tbl>
    <w:p>
      <w:pPr>
        <w:spacing w:before="80"/>
      </w:pPr>
    </w:p>
    <w:p>
      <w:pPr>
        <w:spacing w:after="80" w:before="60"/>
      </w:pPr>
      <w:r>
        <w:rPr>
          <w:rFonts w:ascii="Calibri" w:cs="Calibri" w:eastAsia="Calibri" w:hAnsi="Calibri"/>
          <w:i/>
          <w:iCs/>
          <w:color w:val="455A64"/>
          <w:sz w:val="21"/>
          <w:szCs w:val="21"/>
        </w:rPr>
        <w:t xml:space="preserve">LR wins at cost ratios 2:1 through 10:1. Industry standard for wholesale credit is 5:1 to 10:1. XGBoost wins only at extreme ratios (20:1+) relevant to systemic risk or very high LGD portfolios.</w:t>
      </w:r>
    </w:p>
    <w:p>
      <w:pPr>
        <w:pStyle w:val="Heading2"/>
        <w:spacing w:after="100" w:before="240"/>
      </w:pPr>
      <w:r>
        <w:rPr>
          <w:rFonts w:ascii="Calibri" w:cs="Calibri" w:eastAsia="Calibri" w:hAnsi="Calibri"/>
          <w:b/>
          <w:bCs/>
          <w:color w:val="1565C0"/>
          <w:sz w:val="24"/>
          <w:szCs w:val="24"/>
        </w:rPr>
        <w:t xml:space="preserve">3.2 SHAP-LR Agreement — The Key Finding</w:t>
      </w:r>
    </w:p>
    <w:p>
      <w:pPr>
        <w:spacing w:after="80" w:before="60"/>
      </w:pPr>
      <w:r>
        <w:rPr>
          <w:rFonts w:ascii="Calibri" w:cs="Calibri" w:eastAsia="Calibri" w:hAnsi="Calibri"/>
          <w:sz w:val="21"/>
          <w:szCs w:val="21"/>
        </w:rPr>
        <w:t xml:space="preserve">Spearman rank correlation between LR scaled coefficients and XGBoost mean |SHAP| values across core features: rho=0.93, p&lt;0.0001. Both independent methods rank the same five features first, in the same order.</w:t>
      </w:r>
    </w:p>
    <w:p>
      <w:pPr>
        <w:spacing w:after="80" w:before="60"/>
      </w:pPr>
      <w:r>
        <w:rPr>
          <w:rFonts w:ascii="Calibri" w:cs="Calibri" w:eastAsia="Calibri" w:hAnsi="Calibri"/>
          <w:sz w:val="21"/>
          <w:szCs w:val="21"/>
        </w:rPr>
        <w:t xml:space="preserve">This confirms the credit relationships in this dataset are near-linearly separable. XGBoost is using 400 trees to approximate a linear function that logistic regression expresses directly. This finding has two governance implications:</w:t>
      </w:r>
    </w:p>
    <w:p>
      <w:pPr>
        <w:pStyle w:val="ListParagraph"/>
        <w:numPr>
          <w:ilvl w:val="0"/>
          <w:numId w:val="1"/>
        </w:numPr>
        <w:spacing w:after="40" w:before="40"/>
      </w:pPr>
      <w:r>
        <w:rPr>
          <w:rFonts w:ascii="Calibri" w:cs="Calibri" w:eastAsia="Calibri" w:hAnsi="Calibri"/>
          <w:b/>
          <w:bCs/>
          <w:sz w:val="21"/>
          <w:szCs w:val="21"/>
        </w:rPr>
        <w:t xml:space="preserve">Implication 1: </w:t>
      </w:r>
      <w:r>
        <w:rPr>
          <w:rFonts w:ascii="Calibri" w:cs="Calibri" w:eastAsia="Calibri" w:hAnsi="Calibri"/>
          <w:sz w:val="21"/>
          <w:szCs w:val="21"/>
        </w:rPr>
        <w:t xml:space="preserve">LR is the correct primary model — it fits the actual data generating process, not an approximation of it.</w:t>
      </w:r>
    </w:p>
    <w:p>
      <w:pPr>
        <w:pStyle w:val="ListParagraph"/>
        <w:numPr>
          <w:ilvl w:val="0"/>
          <w:numId w:val="1"/>
        </w:numPr>
        <w:spacing w:after="40" w:before="40"/>
      </w:pPr>
      <w:r>
        <w:rPr>
          <w:rFonts w:ascii="Calibri" w:cs="Calibri" w:eastAsia="Calibri" w:hAnsi="Calibri"/>
          <w:b/>
          <w:bCs/>
          <w:sz w:val="21"/>
          <w:szCs w:val="21"/>
        </w:rPr>
        <w:t xml:space="preserve">Implication 2: </w:t>
      </w:r>
      <w:r>
        <w:rPr>
          <w:rFonts w:ascii="Calibri" w:cs="Calibri" w:eastAsia="Calibri" w:hAnsi="Calibri"/>
          <w:sz w:val="21"/>
          <w:szCs w:val="21"/>
        </w:rPr>
        <w:t xml:space="preserve">If XGBoost were deployed, SHAP controls would be the mechanism that surfaces this agreement — or, in a future cohort, any breakdown of it. Without SHAP, the analyst cannot know whether the model is using features consistently.</w:t>
      </w:r>
    </w:p>
    <w:p>
      <w:pPr>
        <w:pStyle w:val="Heading2"/>
        <w:spacing w:after="100" w:before="240"/>
      </w:pPr>
      <w:r>
        <w:rPr>
          <w:rFonts w:ascii="Calibri" w:cs="Calibri" w:eastAsia="Calibri" w:hAnsi="Calibri"/>
          <w:b/>
          <w:bCs/>
          <w:color w:val="1565C0"/>
          <w:sz w:val="24"/>
          <w:szCs w:val="24"/>
        </w:rPr>
        <w:t xml:space="preserve">3.3 Proper Scoring Rules (OOT)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Metric</w:t>
            </w:r>
          </w:p>
        </w:tc>
        <w:tc>
          <w:tcPr>
            <w:tcW w:type="dxa" w:w="2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LR</w:t>
            </w:r>
          </w:p>
        </w:tc>
        <w:tc>
          <w:tcPr>
            <w:tcW w:type="dxa" w:w="2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XGBoost</w:t>
            </w:r>
          </w:p>
        </w:tc>
        <w:tc>
          <w:tcPr>
            <w:tcW w:type="dxa" w:w="2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Winner</w:t>
            </w:r>
          </w:p>
        </w:tc>
      </w:tr>
      <w:tr>
        <w:tc>
          <w:tcPr>
            <w:tcW w:type="dxa" w:w="30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OOT AUC-ROC</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0.9989</w:t>
            </w:r>
          </w:p>
        </w:tc>
        <w:tc>
          <w:tcPr>
            <w:tcW w:type="dxa" w:w="2000"/>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0.9978</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tcW w:type="dxa" w:w="30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OOT AUC-PR</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0.9956</w:t>
            </w:r>
          </w:p>
        </w:tc>
        <w:tc>
          <w:tcPr>
            <w:tcW w:type="dxa" w:w="2000"/>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0.9914</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tcW w:type="dxa" w:w="30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Brier Score (lower better)</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0.0121</w:t>
            </w:r>
          </w:p>
        </w:tc>
        <w:tc>
          <w:tcPr>
            <w:tcW w:type="dxa" w:w="2000"/>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0.0148</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tcW w:type="dxa" w:w="30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Log-Loss (lower better)</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0.044</w:t>
            </w:r>
          </w:p>
        </w:tc>
        <w:tc>
          <w:tcPr>
            <w:tcW w:type="dxa" w:w="2000"/>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0.053</w:t>
            </w:r>
          </w:p>
        </w:tc>
        <w:tc>
          <w:tcPr>
            <w:tcW w:type="dxa" w:w="2000"/>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LR</w:t>
            </w:r>
          </w:p>
        </w:tc>
      </w:tr>
      <w:tr>
        <w:tc>
          <w:tcPr>
            <w:tcW w:type="dxa" w:w="3000"/>
            <w:shd w:fill="F5F5F5"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CV Brier (training dist.)</w:t>
            </w:r>
          </w:p>
        </w:tc>
        <w:tc>
          <w:tcPr>
            <w:tcW w:type="dxa" w:w="2000"/>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0.0042</w:t>
            </w:r>
          </w:p>
        </w:tc>
        <w:tc>
          <w:tcPr>
            <w:tcW w:type="dxa" w:w="2000"/>
            <w:shd w:fill="FFF9C4" w:val="clea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0.0024</w:t>
            </w:r>
          </w:p>
        </w:tc>
        <w:tc>
          <w:tcPr>
            <w:tcW w:type="dxa" w:w="2000"/>
            <w:shd w:fill="FFF9C4" w:val="clear"/>
            <w:tcMar>
              <w:top w:type="dxa" w:w="80"/>
              <w:left w:type="dxa" w:w="100"/>
              <w:bottom w:type="dxa" w:w="80"/>
              <w:right w:type="dxa" w:w="100"/>
            </w:tcMar>
          </w:tcPr>
          <w:p>
            <w:pPr>
              <w:spacing w:after="60" w:before="60"/>
              <w:jc w:val="center"/>
            </w:pPr>
            <w:r>
              <w:rPr>
                <w:rFonts w:ascii="Calibri" w:cs="Calibri" w:eastAsia="Calibri" w:hAnsi="Calibri"/>
                <w:b w:val="false"/>
                <w:bCs w:val="false"/>
                <w:color w:val="E65100"/>
                <w:sz w:val="20"/>
                <w:szCs w:val="20"/>
              </w:rPr>
              <w:t xml:space="preserve">XGBoost*</w:t>
            </w:r>
          </w:p>
        </w:tc>
      </w:tr>
    </w:tbl>
    <w:p>
      <w:pPr>
        <w:spacing w:before="80"/>
      </w:pPr>
    </w:p>
    <w:p>
      <w:pPr>
        <w:spacing w:after="80" w:before="60"/>
      </w:pPr>
      <w:r>
        <w:rPr>
          <w:rFonts w:ascii="Calibri" w:cs="Calibri" w:eastAsia="Calibri" w:hAnsi="Calibri"/>
          <w:i/>
          <w:iCs/>
          <w:color w:val="455A64"/>
          <w:sz w:val="21"/>
          <w:szCs w:val="21"/>
        </w:rPr>
        <w:t xml:space="preserve">* XGBoost wins CV Brier/Log-Loss within training folds because scale_pos_weight optimises for the 0.5% training imbalance. OOT holdout (18.1% bankrupt) is the valid production test — LR wins on all OOT metrics.</w:t>
      </w: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4. Feature Specification</w:t>
      </w:r>
    </w:p>
    <w:p>
      <w:pPr>
        <w:pStyle w:val="Heading2"/>
        <w:spacing w:after="100" w:before="240"/>
      </w:pPr>
      <w:r>
        <w:rPr>
          <w:rFonts w:ascii="Calibri" w:cs="Calibri" w:eastAsia="Calibri" w:hAnsi="Calibri"/>
          <w:b/>
          <w:bCs/>
          <w:color w:val="1565C0"/>
          <w:sz w:val="24"/>
          <w:szCs w:val="24"/>
        </w:rPr>
        <w:t xml:space="preserve">4.1 Parsimonious 7-Feature Production Specification</w:t>
      </w:r>
    </w:p>
    <w:p>
      <w:pPr>
        <w:spacing w:after="80" w:before="60"/>
      </w:pPr>
      <w:r>
        <w:rPr>
          <w:rFonts w:ascii="Calibri" w:cs="Calibri" w:eastAsia="Calibri" w:hAnsi="Calibri"/>
          <w:sz w:val="21"/>
          <w:szCs w:val="21"/>
        </w:rPr>
        <w:t xml:space="preserve">Derived from convergent evidence across three independent methods: LR coefficient ranking, XGBoost SHAP importance ranking, and ablation backtest. All three methods agree on the same seven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000"/>
        <w:gridCol w:w="1400"/>
        <w:gridCol w:w="1200"/>
        <w:gridCol w:w="1800"/>
        <w:gridCol w:w="200"/>
      </w:tblGrid>
      <w:tr>
        <w:trPr>
          <w:tblHeader/>
        </w:trPr>
        <w:tc>
          <w:tcPr>
            <w:tcW w:type="dxa" w:w="6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Rank</w:t>
            </w:r>
          </w:p>
        </w:tc>
        <w:tc>
          <w:tcPr>
            <w:tcW w:type="dxa" w:w="8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Code</w:t>
            </w:r>
          </w:p>
        </w:tc>
        <w:tc>
          <w:tcPr>
            <w:tcW w:type="dxa" w:w="3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Label</w:t>
            </w:r>
          </w:p>
        </w:tc>
        <w:tc>
          <w:tcPr>
            <w:tcW w:type="dxa" w:w="14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Category</w:t>
            </w:r>
          </w:p>
        </w:tc>
        <w:tc>
          <w:tcPr>
            <w:tcW w:type="dxa" w:w="12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LR Weight</w:t>
            </w:r>
          </w:p>
        </w:tc>
        <w:tc>
          <w:tcPr>
            <w:tcW w:type="dxa" w:w="18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Direction</w:t>
            </w:r>
          </w:p>
        </w:tc>
        <w:tc>
          <w:tcPr>
            <w:tcW w:type="dxa" w:w="2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1</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X3</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Working capital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Activity</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−2.11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2</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X4</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Current assets / ST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Liquidity</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−1.80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3</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X8</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Equity / Total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Leverage</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−1.50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4</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X7</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EBIT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Profitability</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−1.21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5</w:t>
            </w:r>
          </w:p>
        </w:tc>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X5</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Cash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Liquidity</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−1.21</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FFF9C4"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6</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X2</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Total liabilities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Leverage</w:t>
            </w:r>
          </w:p>
        </w:tc>
        <w:tc>
          <w:tcPr>
            <w:tcMar>
              <w:top w:type="dxa" w:w="80"/>
              <w:left w:type="dxa" w:w="100"/>
              <w:bottom w:type="dxa" w:w="80"/>
              <w:right w:type="dxa" w:w="100"/>
            </w:tcMar>
          </w:tcPr>
          <w:p>
            <w:pPr>
              <w:spacing w:after="60" w:before="60"/>
              <w:jc w:val="center"/>
            </w:pPr>
            <w:r>
              <w:rPr>
                <w:rFonts w:ascii="Calibri" w:cs="Calibri" w:eastAsia="Calibri" w:hAnsi="Calibri"/>
                <w:b/>
                <w:bCs/>
                <w:color w:val="B71C1C"/>
                <w:sz w:val="20"/>
                <w:szCs w:val="20"/>
              </w:rPr>
              <w:t xml:space="preserve">+0.82</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Higher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r>
        <w:tc>
          <w:tcPr>
            <w:shd w:fill="FFF9C4" w:val="clear"/>
            <w:tcMar>
              <w:top w:type="dxa" w:w="80"/>
              <w:left w:type="dxa" w:w="100"/>
              <w:bottom w:type="dxa" w:w="80"/>
              <w:right w:type="dxa" w:w="100"/>
            </w:tcMar>
          </w:tcPr>
          <w:p>
            <w:pPr>
              <w:spacing w:after="60" w:before="60"/>
              <w:jc w:val="center"/>
            </w:pPr>
            <w:r>
              <w:rPr>
                <w:rFonts w:ascii="Calibri" w:cs="Calibri" w:eastAsia="Calibri" w:hAnsi="Calibri"/>
                <w:b/>
                <w:bCs/>
                <w:sz w:val="20"/>
                <w:szCs w:val="20"/>
              </w:rPr>
              <w:t xml:space="preserve">7</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X6</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Retained earnings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Ret.Earnings</w:t>
            </w:r>
          </w:p>
        </w:tc>
        <w:tc>
          <w:tcPr>
            <w:tcMar>
              <w:top w:type="dxa" w:w="80"/>
              <w:left w:type="dxa" w:w="100"/>
              <w:bottom w:type="dxa" w:w="80"/>
              <w:right w:type="dxa" w:w="100"/>
            </w:tcMar>
          </w:tcPr>
          <w:p>
            <w:pPr>
              <w:spacing w:after="60" w:before="60"/>
              <w:jc w:val="center"/>
            </w:pPr>
            <w:r>
              <w:rPr>
                <w:rFonts w:ascii="Calibri" w:cs="Calibri" w:eastAsia="Calibri" w:hAnsi="Calibri"/>
                <w:b/>
                <w:bCs/>
                <w:color w:val="1B5E20"/>
                <w:sz w:val="20"/>
                <w:szCs w:val="20"/>
              </w:rPr>
              <w:t xml:space="preserve">−0.95</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Lower risk</w:t>
            </w:r>
          </w:p>
        </w:tc>
        <w:tc>
          <w:tcPr>
            <w:tcW w:type="dxa" w:w="200"/>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
            </w:r>
          </w:p>
        </w:tc>
      </w:tr>
    </w:tbl>
    <w:p>
      <w:pPr>
        <w:spacing w:before="80"/>
      </w:pPr>
    </w:p>
    <w:p>
      <w:pPr>
        <w:spacing w:after="80" w:before="60"/>
      </w:pPr>
      <w:r>
        <w:rPr>
          <w:rFonts w:ascii="Calibri" w:cs="Calibri" w:eastAsia="Calibri" w:hAnsi="Calibri"/>
          <w:sz w:val="21"/>
          <w:szCs w:val="21"/>
        </w:rPr>
        <w:t xml:space="preserve">Performance: LR AUC=0.9980 (99.9% of full 14-feature), FN=5 vs 4 full. Also include MNAR_X2 and MNAR_X6 as features 8-9 — missing leverage and retained earnings reporting is itself an adverse signal.</w:t>
      </w:r>
    </w:p>
    <w:p>
      <w:pPr>
        <w:pStyle w:val="Heading2"/>
        <w:spacing w:after="100" w:before="240"/>
      </w:pPr>
      <w:r>
        <w:rPr>
          <w:rFonts w:ascii="Calibri" w:cs="Calibri" w:eastAsia="Calibri" w:hAnsi="Calibri"/>
          <w:b/>
          <w:bCs/>
          <w:color w:val="1565C0"/>
          <w:sz w:val="24"/>
          <w:szCs w:val="24"/>
        </w:rPr>
        <w:t xml:space="preserve">4.2 Full 14-Feature Set (Challenger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600"/>
        <w:gridCol w:w="2600"/>
      </w:tblGrid>
      <w:tr>
        <w:trPr>
          <w:tblHeader/>
        </w:trPr>
        <w:tc>
          <w:tcPr>
            <w:tcW w:type="dxa" w:w="8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Code</w:t>
            </w:r>
          </w:p>
        </w:tc>
        <w:tc>
          <w:tcPr>
            <w:tcW w:type="dxa" w:w="4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Label</w:t>
            </w:r>
          </w:p>
        </w:tc>
        <w:tc>
          <w:tcPr>
            <w:tcW w:type="dxa" w:w="16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Category</w:t>
            </w:r>
          </w:p>
        </w:tc>
        <w:tc>
          <w:tcPr>
            <w:tcW w:type="dxa" w:w="26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Notes</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X1</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Net profit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Profitability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17 — adds little over X7</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X2</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Total liabilities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Leverage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6 — essential</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X3</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Working capital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Activity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 — strongest single feature</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X4</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Current assets / ST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Liquidity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2 — essential</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X5</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Cash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Liquidity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5 — essential</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X6</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Retained earnings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Ret.Earnings</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7 — essential for leverage-driven distress</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X7</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EBIT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Profitability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4 — essential</w:t>
            </w:r>
          </w:p>
        </w:tc>
      </w:tr>
      <w:tr>
        <w:tc>
          <w:tcPr>
            <w:shd w:fill="C8E6C9" w:val="clea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X8</w:t>
            </w:r>
          </w:p>
        </w:tc>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Equity / Total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Leverage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3 — essential</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X9</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Sales / Total assets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Activity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9 — borderline useful</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X18</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Interest coverage ratio</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Coverage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10 — weak marginal contribution</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X28</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Working capital / Total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Activity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11 — captured by X3</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X29</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Log(Sales)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Size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13 — borderline</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X44</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Net profit / Equity</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Profitability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12 — noisy</w:t>
            </w:r>
          </w:p>
        </w:tc>
      </w:tr>
      <w:tr>
        <w:tc>
          <w:tcPr>
            <w:tcMar>
              <w:top w:type="dxa" w:w="80"/>
              <w:left w:type="dxa" w:w="100"/>
              <w:bottom w:type="dxa" w:w="80"/>
              <w:right w:type="dxa" w:w="100"/>
            </w:tcMar>
          </w:tcPr>
          <w:p>
            <w:pPr>
              <w:spacing w:after="60" w:before="60"/>
              <w:jc w:val="center"/>
            </w:pPr>
            <w:r>
              <w:rPr>
                <w:rFonts w:ascii="Calibri" w:cs="Calibri" w:eastAsia="Calibri" w:hAnsi="Calibri"/>
                <w:b/>
                <w:bCs/>
                <w:color w:val="1565C0"/>
                <w:sz w:val="20"/>
                <w:szCs w:val="20"/>
              </w:rPr>
              <w:t xml:space="preserve">X48</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Net profit+Depr / Total liabilities</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Coverage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Rank 14 — captured by X6+X7</w:t>
            </w:r>
          </w:p>
        </w:tc>
      </w:tr>
    </w:tbl>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5. Explainability Diagnostics and Audit Findings</w:t>
      </w:r>
    </w:p>
    <w:p>
      <w:pPr>
        <w:spacing w:after="80" w:before="60"/>
      </w:pPr>
      <w:r>
        <w:rPr>
          <w:rFonts w:ascii="Calibri" w:cs="Calibri" w:eastAsia="Calibri" w:hAnsi="Calibri"/>
          <w:sz w:val="21"/>
          <w:szCs w:val="21"/>
        </w:rPr>
        <w:t xml:space="preserve">Four quantitative diagnostics are applied to the XGBoost model (the model an institution would deploy in an ML-first context). Results are assessed against calibrated thresholds that define when a diagnostic output constitutes a governance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1000"/>
        <w:gridCol w:w="3200"/>
      </w:tblGrid>
      <w:tr>
        <w:trPr>
          <w:tblHeader/>
        </w:trPr>
        <w:tc>
          <w:tcPr>
            <w:tcW w:type="dxa" w:w="2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Diagnostic</w:t>
            </w:r>
          </w:p>
        </w:tc>
        <w:tc>
          <w:tcPr>
            <w:tcW w:type="dxa" w:w="18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Metric</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Result</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Amber</w:t>
            </w:r>
          </w:p>
        </w:tc>
        <w:tc>
          <w:tcPr>
            <w:tcW w:type="dxa" w:w="1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Red</w:t>
            </w:r>
          </w:p>
        </w:tc>
        <w:tc>
          <w:tcPr>
            <w:tcW w:type="dxa" w:w="32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Finding and Implication</w:t>
            </w:r>
          </w:p>
        </w:tc>
      </w:tr>
      <w:tr>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A: Stability
(Bootstrap Variance)</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Normalised bootstrap variance</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0"/>
                <w:szCs w:val="20"/>
              </w:rPr>
              <w:t xml:space="preserve">AMBER</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&gt;0.15</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&gt;0.30</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Moderate SHAP variance across resamples. Acceptable for ensemble. Monitor at re-validation.</w:t>
            </w:r>
          </w:p>
        </w:tc>
      </w:tr>
      <w:tr>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B: Drift
(Wasserstein Distance)</w:t>
            </w:r>
          </w:p>
        </w:tc>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SHAP distribution: train vs OOT</w:t>
            </w:r>
          </w:p>
        </w:tc>
        <w:tc>
          <w:tcPr>
            <w:shd w:fill="FFCDD2" w:val="clear"/>
            <w:tcMar>
              <w:top w:type="dxa" w:w="80"/>
              <w:left w:type="dxa" w:w="100"/>
              <w:bottom w:type="dxa" w:w="80"/>
              <w:right w:type="dxa" w:w="100"/>
            </w:tcMar>
          </w:tcPr>
          <w:p>
            <w:pPr>
              <w:spacing w:after="60" w:before="60"/>
              <w:jc w:val="center"/>
            </w:pPr>
            <w:r>
              <w:rPr>
                <w:rFonts w:ascii="Calibri" w:cs="Calibri" w:eastAsia="Calibri" w:hAnsi="Calibri"/>
                <w:b/>
                <w:bCs/>
                <w:color w:val="B71C1C"/>
                <w:sz w:val="20"/>
                <w:szCs w:val="20"/>
              </w:rPr>
              <w:t xml:space="preserve">RED</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&gt;0.10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&gt;0.25</w:t>
            </w:r>
          </w:p>
        </w:tc>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BREACHED. Model uses different features in stressed cohort. Performance metrics did not flag this. Core finding.</w:t>
            </w:r>
          </w:p>
        </w:tc>
      </w:tr>
      <w:tr>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C: Sensitivity
(ESR Ratio)</w:t>
            </w:r>
          </w:p>
        </w:tc>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Explanation sensitivity ratio</w:t>
            </w:r>
          </w:p>
        </w:tc>
        <w:tc>
          <w:tcPr>
            <w:shd w:fill="FFCDD2" w:val="clear"/>
            <w:tcMar>
              <w:top w:type="dxa" w:w="80"/>
              <w:left w:type="dxa" w:w="100"/>
              <w:bottom w:type="dxa" w:w="80"/>
              <w:right w:type="dxa" w:w="100"/>
            </w:tcMar>
          </w:tcPr>
          <w:p>
            <w:pPr>
              <w:spacing w:after="60" w:before="60"/>
              <w:jc w:val="center"/>
            </w:pPr>
            <w:r>
              <w:rPr>
                <w:rFonts w:ascii="Calibri" w:cs="Calibri" w:eastAsia="Calibri" w:hAnsi="Calibri"/>
                <w:b/>
                <w:bCs/>
                <w:color w:val="B71C1C"/>
                <w:sz w:val="20"/>
                <w:szCs w:val="20"/>
              </w:rPr>
              <w:t xml:space="preserve">RED</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&gt;1.5</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&gt;3.0</w:t>
            </w:r>
          </w:p>
        </w:tc>
        <w:tc>
          <w:tcPr>
            <w:shd w:fill="FFCDD2"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BREACHED. SHAP more sensitive than prediction to input perturbation. Consistent with non-linear model on linear data.</w:t>
            </w:r>
          </w:p>
        </w:tc>
      </w:tr>
      <w:tr>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D: Consistency
(SHAP-LR Agreement)</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Spearman rho: SHAP vs LR coef</w:t>
            </w:r>
          </w:p>
        </w:tc>
        <w:tc>
          <w:tcPr>
            <w:shd w:fill="FFF9C4" w:val="clear"/>
            <w:tcMar>
              <w:top w:type="dxa" w:w="80"/>
              <w:left w:type="dxa" w:w="100"/>
              <w:bottom w:type="dxa" w:w="80"/>
              <w:right w:type="dxa" w:w="100"/>
            </w:tcMar>
          </w:tcPr>
          <w:p>
            <w:pPr>
              <w:spacing w:after="60" w:before="60"/>
              <w:jc w:val="center"/>
            </w:pPr>
            <w:r>
              <w:rPr>
                <w:rFonts w:ascii="Calibri" w:cs="Calibri" w:eastAsia="Calibri" w:hAnsi="Calibri"/>
                <w:b/>
                <w:bCs/>
                <w:color w:val="E65100"/>
                <w:sz w:val="20"/>
                <w:szCs w:val="20"/>
              </w:rPr>
              <w:t xml:space="preserve">AMBER
rho=0.93</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&lt;0.80</w:t>
            </w:r>
          </w:p>
        </w:tc>
        <w:tc>
          <w:tcPr>
            <w:tcMar>
              <w:top w:type="dxa" w:w="80"/>
              <w:left w:type="dxa" w:w="100"/>
              <w:bottom w:type="dxa" w:w="80"/>
              <w:right w:type="dxa" w:w="100"/>
            </w:tcMar>
          </w:tcPr>
          <w:p>
            <w:pPr>
              <w:spacing w:after="60" w:before="60"/>
              <w:jc w:val="center"/>
            </w:pPr>
            <w:r>
              <w:rPr>
                <w:rFonts w:ascii="Calibri" w:cs="Calibri" w:eastAsia="Calibri" w:hAnsi="Calibri"/>
                <w:b w:val="false"/>
                <w:bCs w:val="false"/>
                <w:sz w:val="20"/>
                <w:szCs w:val="20"/>
              </w:rPr>
              <w:t xml:space="preserve">&lt;0.60</w:t>
            </w:r>
          </w:p>
        </w:tc>
        <w:tc>
          <w:tcPr>
            <w:shd w:fill="FFF9C4" w:val="clea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Global agreement confirmed (rho=0.93). Local disagreements on borderline firms (Firm C). Enhanced review required.</w:t>
            </w:r>
          </w:p>
        </w:tc>
      </w:tr>
    </w:tbl>
    <w:p>
      <w:pPr>
        <w:spacing w:before="80"/>
      </w:pPr>
    </w:p>
    <w:p>
      <w:pPr>
        <w:spacing w:after="60" w:before="60"/>
      </w:pPr>
      <w:r>
        <w:rPr>
          <w:rFonts w:ascii="Calibri" w:cs="Calibri" w:eastAsia="Calibri" w:hAnsi="Calibri"/>
          <w:b/>
          <w:bCs/>
          <w:sz w:val="21"/>
          <w:szCs w:val="21"/>
        </w:rPr>
        <w:t xml:space="preserve">Overall RAG: </w:t>
      </w:r>
      <w:r>
        <w:rPr>
          <w:rFonts w:ascii="Calibri" w:cs="Calibri" w:eastAsia="Calibri" w:hAnsi="Calibri"/>
          <w:sz w:val="21"/>
          <w:szCs w:val="21"/>
        </w:rPr>
        <w:t xml:space="preserve">GREEN / AMBER / RED / AMBER. Two RED findings are consistent with the root cause: XGBoost models a near-linear problem non-linearly. Remediation: LR as primary (implemented). If XGBoost is retained as challenger, Diagnostics B and C require continuous SHAP monitoring.</w:t>
      </w: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6. The Governance Principle: SHAP as a Necessary Condition</w:t>
      </w:r>
    </w:p>
    <w:p>
      <w:pPr>
        <w:spacing w:after="80" w:before="60"/>
      </w:pPr>
      <w:r>
        <w:rPr>
          <w:rFonts w:ascii="Calibri" w:cs="Calibri" w:eastAsia="Calibri" w:hAnsi="Calibri"/>
          <w:sz w:val="21"/>
          <w:szCs w:val="21"/>
        </w:rPr>
        <w:t xml:space="preserve">The central governance finding of this toolkit is: if a non-linear ML model (XGBoost, Random Forest, Neural Network) is deployed for credit decisioning, SHAP-based explanation controls are a necessary condition for regulatory compliance, not a supplementary feature.</w:t>
      </w:r>
    </w:p>
    <w:p>
      <w:pPr>
        <w:spacing w:after="80" w:before="60"/>
      </w:pPr>
      <w:r>
        <w:rPr>
          <w:rFonts w:ascii="Calibri" w:cs="Calibri" w:eastAsia="Calibri" w:hAnsi="Calibri"/>
          <w:sz w:val="21"/>
          <w:szCs w:val="21"/>
        </w:rPr>
        <w:t xml:space="preserve">This finding is supported empirically, not asserted: the SHAP-LR agreement (rho=0.93) proves that the explanations are internally consistent and reflect the true structure of the model's decision function. If SHAP agreed with nothing, the controls would be cosmetic. Because SHAP agrees with a calibration anchor that is interpretable by construction, the controls are substantive.</w:t>
      </w:r>
    </w:p>
    <w:p>
      <w:pPr>
        <w:pStyle w:val="Heading2"/>
        <w:spacing w:after="100" w:before="240"/>
      </w:pPr>
      <w:r>
        <w:rPr>
          <w:rFonts w:ascii="Calibri" w:cs="Calibri" w:eastAsia="Calibri" w:hAnsi="Calibri"/>
          <w:b/>
          <w:bCs/>
          <w:color w:val="1565C0"/>
          <w:sz w:val="24"/>
          <w:szCs w:val="24"/>
        </w:rPr>
        <w:t xml:space="preserve">6.1 Three Non-Substitutable Governance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Governance Function</w:t>
            </w:r>
          </w:p>
        </w:tc>
        <w:tc>
          <w:tcPr>
            <w:tcW w:type="dxa" w:w="30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Regulatory Basis</w:t>
            </w:r>
          </w:p>
        </w:tc>
        <w:tc>
          <w:tcPr>
            <w:tcW w:type="dxa" w:w="3600"/>
            <w:shd w:fill="E3F2FD" w:val="clear"/>
            <w:tcMar>
              <w:top w:type="dxa" w:w="80"/>
              <w:left w:type="dxa" w:w="100"/>
              <w:bottom w:type="dxa" w:w="80"/>
              <w:right w:type="dxa" w:w="100"/>
            </w:tcMar>
          </w:tcPr>
          <w:p>
            <w:pPr>
              <w:spacing w:after="60" w:before="60"/>
              <w:jc w:val="center"/>
            </w:pPr>
            <w:r>
              <w:rPr>
                <w:rFonts w:ascii="Calibri" w:cs="Calibri" w:eastAsia="Calibri" w:hAnsi="Calibri"/>
                <w:b/>
                <w:bCs/>
                <w:color w:val="1A237E"/>
                <w:sz w:val="20"/>
                <w:szCs w:val="20"/>
              </w:rPr>
              <w:t xml:space="preserve">How SHAP Discharges It</w:t>
            </w:r>
          </w:p>
        </w:tc>
      </w:tr>
      <w:tr>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Independent Challenge</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SR 11-7 §IV
NIST AI RMF GOVERN 1.2</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SHAP local attributions are the only tractable mechanism for challenging individual model decisions on a tree ensemble. Coefficients do not exist; SHAP is the coefficient analogue.</w:t>
            </w:r>
          </w:p>
        </w:tc>
      </w:tr>
      <w:tr>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Individual-level Transparency</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EU AI Act Art. 13</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Local SHAP produces a firm-specific explanation: which ratios drove this firm's score, by how much, in which direction. No other mechanism achieves this at the individual level for tree models.</w:t>
            </w:r>
          </w:p>
        </w:tc>
      </w:tr>
      <w:tr>
        <w:tc>
          <w:tcPr>
            <w:shd w:fill="C8E6C9" w:val="clear"/>
            <w:tcMar>
              <w:top w:type="dxa" w:w="80"/>
              <w:left w:type="dxa" w:w="100"/>
              <w:bottom w:type="dxa" w:w="80"/>
              <w:right w:type="dxa" w:w="100"/>
            </w:tcMar>
          </w:tcPr>
          <w:p>
            <w:pPr>
              <w:spacing w:after="60" w:before="60"/>
              <w:jc w:val="left"/>
            </w:pPr>
            <w:r>
              <w:rPr>
                <w:rFonts w:ascii="Calibri" w:cs="Calibri" w:eastAsia="Calibri" w:hAnsi="Calibri"/>
                <w:b/>
                <w:bCs/>
                <w:sz w:val="20"/>
                <w:szCs w:val="20"/>
              </w:rPr>
              <w:t xml:space="preserve">Behavioural Monitoring</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PRA SS1/23 §3.4</w:t>
            </w:r>
          </w:p>
        </w:tc>
        <w:tc>
          <w:tcPr>
            <w:tcMar>
              <w:top w:type="dxa" w:w="80"/>
              <w:left w:type="dxa" w:w="100"/>
              <w:bottom w:type="dxa" w:w="80"/>
              <w:right w:type="dxa" w:w="100"/>
            </w:tcMar>
          </w:tcPr>
          <w:p>
            <w:pPr>
              <w:spacing w:after="60" w:before="60"/>
              <w:jc w:val="left"/>
            </w:pPr>
            <w:r>
              <w:rPr>
                <w:rFonts w:ascii="Calibri" w:cs="Calibri" w:eastAsia="Calibri" w:hAnsi="Calibri"/>
                <w:b w:val="false"/>
                <w:bCs w:val="false"/>
                <w:sz w:val="20"/>
                <w:szCs w:val="20"/>
              </w:rPr>
              <w:t xml:space="preserve">Explanation drift (Diagnostic B RED) detected regime shift between training and OOT populations before performance metrics degraded. AUC alone would not surface this. SHAP monitoring is the early warning mechanism.</w:t>
            </w:r>
          </w:p>
        </w:tc>
      </w:tr>
    </w:tbl>
    <w:p>
      <w:pPr>
        <w:spacing w:before="80"/>
      </w:pP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7. Analytical Journey and Principal Investigator Contribution</w:t>
      </w:r>
    </w:p>
    <w:p>
      <w:pPr>
        <w:spacing w:after="80" w:before="60"/>
      </w:pPr>
      <w:r>
        <w:rPr>
          <w:rFonts w:ascii="Calibri" w:cs="Calibri" w:eastAsia="Calibri" w:hAnsi="Calibri"/>
          <w:sz w:val="21"/>
          <w:szCs w:val="21"/>
        </w:rPr>
        <w:t xml:space="preserve">This section documents the investigative process that produced the toolkit's findings. The analysis was not executed from a predetermined specification — it evolved through iterative empirical challenge, with each finding driving the next question.</w:t>
      </w:r>
    </w:p>
    <w:p>
      <w:pPr>
        <w:pStyle w:val="ListParagraph"/>
        <w:numPr>
          <w:ilvl w:val="0"/>
          <w:numId w:val="1"/>
        </w:numPr>
        <w:spacing w:after="40" w:before="40"/>
      </w:pPr>
      <w:r>
        <w:rPr>
          <w:rFonts w:ascii="Calibri" w:cs="Calibri" w:eastAsia="Calibri" w:hAnsi="Calibri"/>
          <w:b/>
          <w:bCs/>
          <w:sz w:val="21"/>
          <w:szCs w:val="21"/>
        </w:rPr>
        <w:t xml:space="preserve">Starting point: </w:t>
      </w:r>
      <w:r>
        <w:rPr>
          <w:rFonts w:ascii="Calibri" w:cs="Calibri" w:eastAsia="Calibri" w:hAnsi="Calibri"/>
          <w:sz w:val="21"/>
          <w:szCs w:val="21"/>
        </w:rPr>
        <w:t xml:space="preserve">14-feature XGBoost model with SMOTE oversampling, standard 80/20 random split. Initial audit scorecard: A=GREEN, B=AMBER, C=RED, D=AMBER.</w:t>
      </w:r>
    </w:p>
    <w:p>
      <w:pPr>
        <w:pStyle w:val="ListParagraph"/>
        <w:numPr>
          <w:ilvl w:val="0"/>
          <w:numId w:val="1"/>
        </w:numPr>
        <w:spacing w:after="40" w:before="40"/>
      </w:pPr>
      <w:r>
        <w:rPr>
          <w:rFonts w:ascii="Calibri" w:cs="Calibri" w:eastAsia="Calibri" w:hAnsi="Calibri"/>
          <w:b/>
          <w:bCs/>
          <w:sz w:val="21"/>
          <w:szCs w:val="21"/>
        </w:rPr>
        <w:t xml:space="preserve">First challenge: data leakage screen: </w:t>
      </w:r>
      <w:r>
        <w:rPr>
          <w:rFonts w:ascii="Calibri" w:cs="Calibri" w:eastAsia="Calibri" w:hAnsi="Calibri"/>
          <w:sz w:val="21"/>
          <w:szCs w:val="21"/>
        </w:rPr>
        <w:t xml:space="preserve">Screened all 64 UCI features for point-biserial correlation with target. Curated 14 features removing leakage candidates. Replaced SMOTE with native scale_pos_weight — SMOTE distorts the feature distribution that SHAP measures.</w:t>
      </w:r>
    </w:p>
    <w:p>
      <w:pPr>
        <w:pStyle w:val="ListParagraph"/>
        <w:numPr>
          <w:ilvl w:val="0"/>
          <w:numId w:val="1"/>
        </w:numPr>
        <w:spacing w:after="40" w:before="40"/>
      </w:pPr>
      <w:r>
        <w:rPr>
          <w:rFonts w:ascii="Calibri" w:cs="Calibri" w:eastAsia="Calibri" w:hAnsi="Calibri"/>
          <w:b/>
          <w:bCs/>
          <w:sz w:val="21"/>
          <w:szCs w:val="21"/>
        </w:rPr>
        <w:t xml:space="preserve">Second challenge: temporal validity: </w:t>
      </w:r>
      <w:r>
        <w:rPr>
          <w:rFonts w:ascii="Calibri" w:cs="Calibri" w:eastAsia="Calibri" w:hAnsi="Calibri"/>
          <w:sz w:val="21"/>
          <w:szCs w:val="21"/>
        </w:rPr>
        <w:t xml:space="preserve">Recognised that a random 80/20 split on cross-sectional data cannot constitute an out-of-time test. Constructed pseudo-OOT via composite distress score, producing a stressed holdout (18.1% bankrupt) that tests the model under adverse conditions.</w:t>
      </w:r>
    </w:p>
    <w:p>
      <w:pPr>
        <w:pStyle w:val="ListParagraph"/>
        <w:numPr>
          <w:ilvl w:val="0"/>
          <w:numId w:val="1"/>
        </w:numPr>
        <w:spacing w:after="40" w:before="40"/>
      </w:pPr>
      <w:r>
        <w:rPr>
          <w:rFonts w:ascii="Calibri" w:cs="Calibri" w:eastAsia="Calibri" w:hAnsi="Calibri"/>
          <w:b/>
          <w:bCs/>
          <w:sz w:val="21"/>
          <w:szCs w:val="21"/>
        </w:rPr>
        <w:t xml:space="preserve">Third challenge: model complexity: </w:t>
      </w:r>
      <w:r>
        <w:rPr>
          <w:rFonts w:ascii="Calibri" w:cs="Calibri" w:eastAsia="Calibri" w:hAnsi="Calibri"/>
          <w:sz w:val="21"/>
          <w:szCs w:val="21"/>
        </w:rPr>
        <w:t xml:space="preserve">Asked: why 400 trees? Ran ablation across 5-600 trees and 3-14 features. Finding: 150 trees and 7 features deliver 99%+ of performance. 400 trees is over-specified but not overfit.</w:t>
      </w:r>
    </w:p>
    <w:p>
      <w:pPr>
        <w:pStyle w:val="ListParagraph"/>
        <w:numPr>
          <w:ilvl w:val="0"/>
          <w:numId w:val="1"/>
        </w:numPr>
        <w:spacing w:after="40" w:before="40"/>
      </w:pPr>
      <w:r>
        <w:rPr>
          <w:rFonts w:ascii="Calibri" w:cs="Calibri" w:eastAsia="Calibri" w:hAnsi="Calibri"/>
          <w:b/>
          <w:bCs/>
          <w:sz w:val="21"/>
          <w:szCs w:val="21"/>
        </w:rPr>
        <w:t xml:space="preserve">Fourth challenge: model selection: </w:t>
      </w:r>
      <w:r>
        <w:rPr>
          <w:rFonts w:ascii="Calibri" w:cs="Calibri" w:eastAsia="Calibri" w:hAnsi="Calibri"/>
          <w:sz w:val="21"/>
          <w:szCs w:val="21"/>
        </w:rPr>
        <w:t xml:space="preserve">Refused to select LR over XGBoost on interpretability grounds alone. Ran full formal test suite: asymmetric loss function, Brier/Log-Loss, Wilcoxon significance tests, calibration analysis. Data selected LR at all industry-standard cost ratios. Model selection documented with regulatory alignment.</w:t>
      </w:r>
    </w:p>
    <w:p>
      <w:pPr>
        <w:pStyle w:val="ListParagraph"/>
        <w:numPr>
          <w:ilvl w:val="0"/>
          <w:numId w:val="1"/>
        </w:numPr>
        <w:spacing w:after="40" w:before="40"/>
      </w:pPr>
      <w:r>
        <w:rPr>
          <w:rFonts w:ascii="Calibri" w:cs="Calibri" w:eastAsia="Calibri" w:hAnsi="Calibri"/>
          <w:b/>
          <w:bCs/>
          <w:sz w:val="21"/>
          <w:szCs w:val="21"/>
        </w:rPr>
        <w:t xml:space="preserve">Fifth challenge: which features matter?: </w:t>
      </w:r>
      <w:r>
        <w:rPr>
          <w:rFonts w:ascii="Calibri" w:cs="Calibri" w:eastAsia="Calibri" w:hAnsi="Calibri"/>
          <w:sz w:val="21"/>
          <w:szCs w:val="21"/>
        </w:rPr>
        <w:t xml:space="preserve">Extracted LR coefficients and XGBoost SHAP importances. Observed rho=0.93 agreement. Ran feature ablation across 8 configurations. Identified 7-feature parsimonious optimum. Characterised the 9 additional false negatives created by feature reduction — all had adverse X2 or X6 that the top-5 liquidity features could not detect.</w:t>
      </w:r>
    </w:p>
    <w:p>
      <w:pPr>
        <w:pStyle w:val="ListParagraph"/>
        <w:numPr>
          <w:ilvl w:val="0"/>
          <w:numId w:val="1"/>
        </w:numPr>
        <w:spacing w:after="40" w:before="40"/>
      </w:pPr>
      <w:r>
        <w:rPr>
          <w:rFonts w:ascii="Calibri" w:cs="Calibri" w:eastAsia="Calibri" w:hAnsi="Calibri"/>
          <w:b/>
          <w:bCs/>
          <w:sz w:val="21"/>
          <w:szCs w:val="21"/>
        </w:rPr>
        <w:t xml:space="preserve">Sixth challenge: false negative anatomy: </w:t>
      </w:r>
      <w:r>
        <w:rPr>
          <w:rFonts w:ascii="Calibri" w:cs="Calibri" w:eastAsia="Calibri" w:hAnsi="Calibri"/>
          <w:sz w:val="21"/>
          <w:szCs w:val="21"/>
        </w:rPr>
        <w:t xml:space="preserve">Traced each of the 26 LR-only catches vs XGBoost to their root cause: XGBoost's non-linear tree routing finds partial protective signals in present ratios, missing the cumulative adverse signal that LR accumulates linearly. This is a structural advantage of LR for early-stage distress.</w:t>
      </w:r>
    </w:p>
    <w:p>
      <w:pPr>
        <w:pStyle w:val="ListParagraph"/>
        <w:numPr>
          <w:ilvl w:val="0"/>
          <w:numId w:val="1"/>
        </w:numPr>
        <w:spacing w:after="40" w:before="40"/>
      </w:pPr>
      <w:r>
        <w:rPr>
          <w:rFonts w:ascii="Calibri" w:cs="Calibri" w:eastAsia="Calibri" w:hAnsi="Calibri"/>
          <w:b/>
          <w:bCs/>
          <w:sz w:val="21"/>
          <w:szCs w:val="21"/>
        </w:rPr>
        <w:t xml:space="preserve">Central finding: </w:t>
      </w:r>
      <w:r>
        <w:rPr>
          <w:rFonts w:ascii="Calibri" w:cs="Calibri" w:eastAsia="Calibri" w:hAnsi="Calibri"/>
          <w:sz w:val="21"/>
          <w:szCs w:val="21"/>
        </w:rPr>
        <w:t xml:space="preserve">SHAP agrees with LR. This is not a coincidence — it is evidence that the data is near-linearly separable and that XGBoost's complexity is unjustified. The finding reframes the entire toolkit: SHAP is not decoration. It is the mechanism that made this discovery possible.</w:t>
      </w:r>
    </w:p>
    <w:p>
      <w:pPr>
        <w:pBdr>
          <w:bottom w:val="single" w:color="CCCCCC" w:sz="4"/>
        </w:pBdr>
        <w:spacing w:after="160" w:before="160"/>
      </w:pPr>
    </w:p>
    <w:p>
      <w:pPr>
        <w:pStyle w:val="Heading1"/>
        <w:pBdr>
          <w:bottom w:val="single" w:color="CCCCCC" w:sz="6"/>
        </w:pBdr>
        <w:spacing w:after="120" w:before="320"/>
      </w:pPr>
      <w:r>
        <w:rPr>
          <w:rFonts w:ascii="Calibri" w:cs="Calibri" w:eastAsia="Calibri" w:hAnsi="Calibri"/>
          <w:b/>
          <w:bCs/>
          <w:color w:val="1A237E"/>
          <w:sz w:val="30"/>
          <w:szCs w:val="30"/>
        </w:rPr>
        <w:t xml:space="preserve">8. Limitations</w:t>
      </w:r>
    </w:p>
    <w:p>
      <w:pPr>
        <w:pStyle w:val="ListParagraph"/>
        <w:numPr>
          <w:ilvl w:val="0"/>
          <w:numId w:val="1"/>
        </w:numPr>
        <w:spacing w:after="40" w:before="40"/>
      </w:pPr>
      <w:r>
        <w:rPr>
          <w:rFonts w:ascii="Calibri" w:cs="Calibri" w:eastAsia="Calibri" w:hAnsi="Calibri"/>
          <w:sz w:val="21"/>
          <w:szCs w:val="21"/>
        </w:rPr>
        <w:t xml:space="preserve">OOT partition is a pseudo-OOT based on distress score, not a true calendar holdout. The five-year UCI cohort files would enable genuine temporal validation.</w:t>
      </w:r>
    </w:p>
    <w:p>
      <w:pPr>
        <w:pStyle w:val="ListParagraph"/>
        <w:numPr>
          <w:ilvl w:val="0"/>
          <w:numId w:val="1"/>
        </w:numPr>
        <w:spacing w:after="40" w:before="40"/>
      </w:pPr>
      <w:r>
        <w:rPr>
          <w:rFonts w:ascii="Calibri" w:cs="Calibri" w:eastAsia="Calibri" w:hAnsi="Calibri"/>
          <w:sz w:val="21"/>
          <w:szCs w:val="21"/>
        </w:rPr>
        <w:t xml:space="preserve">Governance thresholds are illustrative. Calibration to institution-specific baselines and historical model behaviour is required before operational deployment.</w:t>
      </w:r>
    </w:p>
    <w:p>
      <w:pPr>
        <w:pStyle w:val="ListParagraph"/>
        <w:numPr>
          <w:ilvl w:val="0"/>
          <w:numId w:val="1"/>
        </w:numPr>
        <w:spacing w:after="40" w:before="40"/>
      </w:pPr>
      <w:r>
        <w:rPr>
          <w:rFonts w:ascii="Calibri" w:cs="Calibri" w:eastAsia="Calibri" w:hAnsi="Calibri"/>
          <w:sz w:val="21"/>
          <w:szCs w:val="21"/>
        </w:rPr>
        <w:t xml:space="preserve">The dataset is Polish GAAP. Re-validation required before applying to IFRS or US GAAP portfolios.</w:t>
      </w:r>
    </w:p>
    <w:p>
      <w:pPr>
        <w:pStyle w:val="ListParagraph"/>
        <w:numPr>
          <w:ilvl w:val="0"/>
          <w:numId w:val="1"/>
        </w:numPr>
        <w:spacing w:after="40" w:before="40"/>
      </w:pPr>
      <w:r>
        <w:rPr>
          <w:rFonts w:ascii="Calibri" w:cs="Calibri" w:eastAsia="Calibri" w:hAnsi="Calibri"/>
          <w:sz w:val="21"/>
          <w:szCs w:val="21"/>
        </w:rPr>
        <w:t xml:space="preserve">MNAR indicators assume missingness is informative. This is empirically supported but should be tested on each new cohort.</w:t>
      </w:r>
    </w:p>
    <w:p>
      <w:pPr>
        <w:pStyle w:val="ListParagraph"/>
        <w:numPr>
          <w:ilvl w:val="0"/>
          <w:numId w:val="1"/>
        </w:numPr>
        <w:spacing w:after="40" w:before="40"/>
      </w:pPr>
      <w:r>
        <w:rPr>
          <w:rFonts w:ascii="Calibri" w:cs="Calibri" w:eastAsia="Calibri" w:hAnsi="Calibri"/>
          <w:sz w:val="21"/>
          <w:szCs w:val="21"/>
        </w:rPr>
        <w:t xml:space="preserve">The cost ratios in the asymmetric loss analysis are illustrative. The institution must determine its own ratio from actual LGD estimates and operational review costs.</w:t>
      </w:r>
    </w:p>
    <w:p>
      <w:pPr>
        <w:pBdr>
          <w:bottom w:val="single" w:color="CCCCCC" w:sz="4"/>
        </w:pBdr>
        <w:spacing w:after="160" w:before="160"/>
      </w:pPr>
    </w:p>
    <w:p>
      <w:pPr>
        <w:spacing w:before="200"/>
      </w:pPr>
    </w:p>
    <w:p>
      <w:pPr>
        <w:jc w:val="center"/>
      </w:pPr>
      <w:r>
        <w:rPr>
          <w:rFonts w:ascii="Calibri" w:cs="Calibri" w:eastAsia="Calibri" w:hAnsi="Calibri"/>
          <w:b/>
          <w:bCs/>
          <w:color w:val="9E9E9E"/>
          <w:sz w:val="20"/>
          <w:szCs w:val="20"/>
        </w:rPr>
        <w:t xml:space="preserve">END OF MODEL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2026-08-31T11:38:41.344Z</dcterms:created>
  <dcterms:modified xsi:type="dcterms:W3CDTF">2026-08-31T11:38:41.357Z</dcterms:modified>
</cp:coreProperties>
</file>

<file path=docProps/custom.xml><?xml version="1.0" encoding="utf-8"?>
<Properties xmlns="http://schemas.openxmlformats.org/officeDocument/2006/custom-properties" xmlns:vt="http://schemas.openxmlformats.org/officeDocument/2006/docPropsVTypes"/>
</file>