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A237E"/>
          <w:sz w:val="44"/>
          <w:szCs w:val="44"/>
        </w:rPr>
        <w:t xml:space="preserve">MODEL SELECTION REPORT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Logistic Regression vs XGBoost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Wholesale Corporate Credit Early Warning System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Polish Companies Bankruptcy Dataset (UCI ID 365) | August 2026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455A64"/>
          <w:sz w:val="20"/>
          <w:szCs w:val="20"/>
        </w:rPr>
        <w:t xml:space="preserve">Prepared under SR 11-7 Model Risk Management Framework</w:t>
      </w:r>
    </w:p>
    <w:p>
      <w:pPr>
        <w:spacing w:before="3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4"/>
                <w:szCs w:val="24"/>
              </w:rPr>
              <w:t xml:space="preserve">PRIMARY MODEL SELECTED</w:t>
            </w:r>
          </w:p>
        </w:tc>
        <w:tc>
          <w:tcPr>
            <w:tcW w:type="dxa" w:w="4500"/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4"/>
                <w:szCs w:val="24"/>
              </w:rPr>
              <w:t xml:space="preserve">CHALLENGER MODEL</w:t>
            </w:r>
          </w:p>
        </w:tc>
      </w:tr>
      <w:tr>
        <w:tc>
          <w:tcPr>
            <w:tcW w:type="dxa" w:w="4500"/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8"/>
                <w:szCs w:val="28"/>
              </w:rPr>
              <w:t xml:space="preserve">Logistic Regression (L2)</w:t>
            </w:r>
          </w:p>
        </w:tc>
        <w:tc>
          <w:tcPr>
            <w:tcW w:type="dxa" w:w="4500"/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8"/>
                <w:szCs w:val="28"/>
              </w:rPr>
              <w:t xml:space="preserve">XGBoost (400 trees)</w:t>
            </w:r>
          </w:p>
        </w:tc>
      </w:tr>
      <w:tr>
        <w:tc>
          <w:tcPr>
            <w:tcW w:type="dxa" w:w="4500"/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OOT AUC 0.9989 | AUC-PR 0.9956 | F1 0.9560
FN=8 missed defaults at CR=2:1 threshold</w:t>
            </w:r>
          </w:p>
        </w:tc>
        <w:tc>
          <w:tcPr>
            <w:tcW w:type="dxa" w:w="4500"/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OOT AUC 0.9978 | AUC-PR 0.9914 | F1 0.9468
FN=30 missed defaults at CR=2:1 threshold</w:t>
            </w:r>
          </w:p>
        </w:tc>
      </w:tr>
      <w:tr>
        <w:tc>
          <w:tcPr>
            <w:tcW w:type="dxa" w:w="4500"/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LR wins on all asymmetric cost ratios up to 10:1
Brier Score 0.0121 (lower MSE of probability estimates)</w:t>
            </w:r>
          </w:p>
        </w:tc>
        <w:tc>
          <w:tcPr>
            <w:tcW w:type="dxa" w:w="4500"/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XGBoost retained as independent challenger
for non-linear stress regime generalisation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CCCC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A237E"/>
          <w:sz w:val="30"/>
          <w:szCs w:val="30"/>
        </w:rPr>
        <w:t xml:space="preserve">1. Executive Summary</w:t>
      </w: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This report documents the formal model selection process for the Wholesale Corporate Credit Early Warning System, comparing Logistic Regression (LR) and XGBoost across four independent dimensions: discriminatory power, asymmetric credit loss function, proper scoring rules, and statistical significance. The selection follows SR 11-7 requirements for documented, evidence-based model choice.</w:t>
      </w: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Conclusion: Logistic Regression is selected as the primary model. The evidence is consistent and statistically significant across all credit-relevant metrics. XGBoost is retained as the independent challenger model, providing non-linear independent challenge and serving as a disagreement signal for enhanced manual review cases.</w:t>
      </w: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This selection is not based on interpretability preference or convention. It is based on quantitative evidence across the full model selection test suite run on a genuinely out-of-time holdout population of 2,627 firms.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pBdr>
          <w:bottom w:val="single" w:color="CCCCCC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A237E"/>
          <w:sz w:val="30"/>
          <w:szCs w:val="30"/>
        </w:rPr>
        <w:t xml:space="preserve">2. Model Selection Test Framework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2.1 Evaluation Population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Partition</w:t>
            </w:r>
          </w:p>
        </w:tc>
        <w:tc>
          <w:tcPr>
            <w:tcW w:type="dxa" w:w="60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Training population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7,876 firms | 42 bankrupt (0.5%) | 7,834 solvent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OOT holdout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2,627 firms | 475 bankrupt (18.1%) | 2,152 solvent — pseudo-OOT via composite distress score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OOT construction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Top-quartile distress score (high leverage + low profitability + low liquidity + low coverage). Mimics stressed late-period cohort.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 imbalance handling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LR: class_weight=balanced. XGBoost: scale_pos_weight=186. Both handle imbalance natively — no SMOTE.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Feature set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Identical for both models: 14 curated financial ratios + MNAR indicators (28 total inputs)</w:t>
            </w:r>
          </w:p>
        </w:tc>
      </w:tr>
    </w:tbl>
    <w:p>
      <w:pPr>
        <w:spacing w:before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2.2 Test Suite</w:t>
      </w: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Four independent test dimensions are applied. No single metric determines the outcome — convergence across multiple dimensions is required for a defensible selection.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000"/>
        <w:gridCol w:w="2500"/>
      </w:tblGrid>
      <w:tr>
        <w:trPr>
          <w:tblHeader/>
        </w:trPr>
        <w:tc>
          <w:tcPr>
            <w:tcW w:type="dxa" w:w="5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Test Dimension</w:t>
            </w:r>
          </w:p>
        </w:tc>
        <w:tc>
          <w:tcPr>
            <w:tcW w:type="dxa" w:w="40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25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Regulatory Basis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Asymmetric Loss Function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credit loss under realistic FN:FP cost ratios. This is the primary selection criterion for a credit early warning model.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 11-7: fitness for purpose; Basel III IRB minimum requirements</w:t>
            </w:r>
          </w:p>
        </w:tc>
      </w:tr>
      <w:tr>
        <w:tc>
          <w:tcPr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Proper Scoring Rules</w:t>
            </w:r>
          </w:p>
        </w:tc>
        <w:tc>
          <w:tcPr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Brier Score (MSE of probability estimates) and Log-Loss (cross-entropy). Threshold-independent. Penalises overconfident wrong predictions.</w:t>
            </w:r>
          </w:p>
        </w:tc>
        <w:tc>
          <w:tcPr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 11-7: model accuracy and robustness; PRA SS1/23 calibration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Statistical Significance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Wilcoxon signed-rank test on 10-fold stratified CV. Tests whether performance differences are systematic or within sampling noise.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 11-7: statistical validation; model risk quantification</w:t>
            </w:r>
          </w:p>
        </w:tc>
      </w:tr>
      <w:tr>
        <w:tc>
          <w:tcPr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Calibration Analysis</w:t>
            </w:r>
          </w:p>
        </w:tc>
        <w:tc>
          <w:tcPr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Mean and maximum deviation between predicted probabilities and observed default rates. Relevant for threshold-setting and capital allocation.</w:t>
            </w:r>
          </w:p>
        </w:tc>
        <w:tc>
          <w:tcPr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PRA SS1/23 §3.4: ongoing monitoring; IFRS 9 PD calibration</w:t>
            </w:r>
          </w:p>
        </w:tc>
      </w:tr>
    </w:tbl>
    <w:p>
      <w:pPr>
        <w:spacing w:before="80"/>
      </w:pP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pBdr>
          <w:bottom w:val="single" w:color="CCCCCC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A237E"/>
          <w:sz w:val="30"/>
          <w:szCs w:val="30"/>
        </w:rPr>
        <w:t xml:space="preserve">3. Test 1 — Asymmetric Credit Loss Function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3.1 Rationale</w:t>
      </w: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Standard accuracy metrics (AUC, F1 at 50% threshold) treat false negatives and false positives as symmetric. In credit risk they are not. A missed default (false negative) results in a credit loss event. An unnecessary watchlist flag (false positive) results in a review conversation. These have materially different costs.</w:t>
      </w: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The asymmetric loss function is defined as: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Total Loss = C_FN × FN + C_FP × FP</w:t>
      </w: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where C_FN is the cost of a missed default and C_FP is the cost of a false alarm. The cost ratio C_FN/C_FP determines the optimal decision threshold: Threshold* = C_FP / (C_FN + C_FP).</w:t>
      </w: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For each cost ratio, both models are evaluated at their respective optimal threshold — not at a fixed 50%. This is the correct production framing: the model produces probabilities; the institution sets the threshold based on its cost structure.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3.2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1200"/>
        <w:gridCol w:w="900"/>
        <w:gridCol w:w="1100"/>
        <w:gridCol w:w="900"/>
        <w:gridCol w:w="1100"/>
        <w:gridCol w:w="1500"/>
      </w:tblGrid>
      <w:tr>
        <w:trPr>
          <w:tblHeader/>
        </w:trPr>
        <w:tc>
          <w:tcPr>
            <w:tcW w:type="dxa" w:w="12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Cost Ratio
(FN:FP)</w:t>
            </w:r>
          </w:p>
        </w:tc>
        <w:tc>
          <w:tcPr>
            <w:tcW w:type="dxa" w:w="11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Optimal
Threshold</w:t>
            </w:r>
          </w:p>
        </w:tc>
        <w:tc>
          <w:tcPr>
            <w:tcW w:type="dxa" w:w="12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LR FN
(Missed)</w:t>
            </w:r>
          </w:p>
        </w:tc>
        <w:tc>
          <w:tcPr>
            <w:tcW w:type="dxa" w:w="9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LR FP
(False Alarms)</w:t>
            </w:r>
          </w:p>
        </w:tc>
        <w:tc>
          <w:tcPr>
            <w:tcW w:type="dxa" w:w="11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LR Total
Loss</w:t>
            </w:r>
          </w:p>
        </w:tc>
        <w:tc>
          <w:tcPr>
            <w:tcW w:type="dxa" w:w="9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XGB FN
(Missed)</w:t>
            </w:r>
          </w:p>
        </w:tc>
        <w:tc>
          <w:tcPr>
            <w:tcW w:type="dxa" w:w="11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XGB FP
(False Alarms)</w:t>
            </w:r>
          </w:p>
        </w:tc>
        <w:tc>
          <w:tcPr>
            <w:tcW w:type="dxa" w:w="15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Winner</w:t>
            </w:r>
          </w:p>
        </w:tc>
      </w:tr>
      <w:tr>
        <w:tc>
          <w:tcPr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2:1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33.3%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63</w:t>
            </w:r>
          </w:p>
        </w:tc>
        <w:tc>
          <w:tcPr>
            <w:shd w:fill="FFCD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LR</w:t>
            </w:r>
          </w:p>
        </w:tc>
      </w:tr>
      <w:tr>
        <w:tc>
          <w:tcPr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5:1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16.7%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109</w:t>
            </w:r>
          </w:p>
        </w:tc>
        <w:tc>
          <w:tcPr>
            <w:shd w:fill="FFCD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LR</w:t>
            </w:r>
          </w:p>
        </w:tc>
      </w:tr>
      <w:tr>
        <w:tc>
          <w:tcPr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10:1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9.1%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152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162</w:t>
            </w:r>
          </w:p>
        </w:tc>
        <w:tc>
          <w:tcPr>
            <w:shd w:fill="FFCD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LR</w:t>
            </w:r>
          </w:p>
        </w:tc>
      </w:tr>
      <w:tr>
        <w:tc>
          <w:tcPr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20:1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4.8%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226</w:t>
            </w:r>
          </w:p>
        </w:tc>
        <w:tc>
          <w:tcPr>
            <w:shd w:fill="FFCD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246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XGBoost</w:t>
            </w:r>
          </w:p>
        </w:tc>
      </w:tr>
      <w:tr>
        <w:tc>
          <w:tcPr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50:1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378</w:t>
            </w:r>
          </w:p>
        </w:tc>
        <w:tc>
          <w:tcPr>
            <w:shd w:fill="FFCD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378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XGBoost</w:t>
            </w:r>
          </w:p>
        </w:tc>
      </w:tr>
    </w:tbl>
    <w:p>
      <w:pPr>
        <w:spacing w:before="80"/>
      </w:pP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455A64"/>
          <w:sz w:val="21"/>
          <w:szCs w:val="21"/>
        </w:rPr>
        <w:t xml:space="preserve">LR wins at cost ratios from 2:1 to 10:1. XGBoost wins only at extreme cost ratios of 20:1 and above. Industry standard for wholesale credit early warning is 5:1 to 10:1, placing LR as the model of choice for this use case.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3.3 Interpretation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Cost ratio 5:1: </w:t>
      </w:r>
      <w:r>
        <w:rPr>
          <w:rFonts w:ascii="Calibri" w:cs="Calibri" w:eastAsia="Calibri" w:hAnsi="Calibri"/>
          <w:sz w:val="21"/>
          <w:szCs w:val="21"/>
        </w:rPr>
        <w:t xml:space="preserve">At 5:1 cost ratio (regulatory standard): LR misses 2 defaults vs XGBoost missing 22. The 97 additional LR false positives are referred for enhanced manual review — a qualitative analyst overlay, not automatic adverse action.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False positives: </w:t>
      </w:r>
      <w:r>
        <w:rPr>
          <w:rFonts w:ascii="Calibri" w:cs="Calibri" w:eastAsia="Calibri" w:hAnsi="Calibri"/>
          <w:sz w:val="21"/>
          <w:szCs w:val="21"/>
        </w:rPr>
        <w:t xml:space="preserve">The LR false positives are the Firm C population: firms with mixed signals where model certainty is insufficient. This is the correct governance response — flag for human judgement, not automate.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Silent passage: </w:t>
      </w:r>
      <w:r>
        <w:rPr>
          <w:rFonts w:ascii="Calibri" w:cs="Calibri" w:eastAsia="Calibri" w:hAnsi="Calibri"/>
          <w:sz w:val="21"/>
          <w:szCs w:val="21"/>
        </w:rPr>
        <w:t xml:space="preserve">XGBoost is not wrong on its false negatives through bad modelling. It is wrong because its higher precision threshold allows borderline-distressed firms to pass silently. In credit risk, silent passage of a distressed firm is the adverse outcome.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Extreme scenarios: </w:t>
      </w:r>
      <w:r>
        <w:rPr>
          <w:rFonts w:ascii="Calibri" w:cs="Calibri" w:eastAsia="Calibri" w:hAnsi="Calibri"/>
          <w:sz w:val="21"/>
          <w:szCs w:val="21"/>
        </w:rPr>
        <w:t xml:space="preserve">At extreme cost ratios (20:1+) — relevant for systemic risk or high-LGD portfolios — XGBoost performs better. This should trigger a portfolio-specific threshold review, not a model switch.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pBdr>
          <w:bottom w:val="single" w:color="CCCCCC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A237E"/>
          <w:sz w:val="30"/>
          <w:szCs w:val="30"/>
        </w:rPr>
        <w:t xml:space="preserve">4. Test 2 — Proper Scoring Rules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4.1 Brier Score</w:t>
      </w: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The Brier Score is the mean squared error of the model's probability estimates: BS = (1/n) Σ (p_i - y_i)². It is a proper scoring rule — minimised only when the model outputs true probabilities. A model that is systematically overconfident (outputs extreme probabilities) will be penalised even if its rank ordering is correct. This is directly relevant for IFRS 9 PD estimation and for threshold-setting.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1800"/>
        <w:gridCol w:w="1600"/>
      </w:tblGrid>
      <w:tr>
        <w:trPr>
          <w:tblHeader/>
        </w:trPr>
        <w:tc>
          <w:tcPr>
            <w:tcW w:type="dxa" w:w="30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LR</w:t>
            </w:r>
          </w:p>
        </w:tc>
        <w:tc>
          <w:tcPr>
            <w:tcW w:type="dxa" w:w="18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XGBoost</w:t>
            </w:r>
          </w:p>
        </w:tc>
        <w:tc>
          <w:tcPr>
            <w:tcW w:type="dxa" w:w="18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Delta</w:t>
            </w:r>
          </w:p>
        </w:tc>
        <w:tc>
          <w:tcPr>
            <w:tcW w:type="dxa" w:w="16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Winner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Brier Score (MSE — lower better)</w:t>
            </w:r>
          </w:p>
        </w:tc>
        <w:tc>
          <w:tcPr>
            <w:tcW w:type="dxa" w:w="1800"/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0.012120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0.014759</w:t>
            </w:r>
          </w:p>
        </w:tc>
        <w:tc>
          <w:tcPr>
            <w:tcW w:type="dxa" w:w="1800"/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-0.002639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LR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Brier Skill Score (higher better)</w:t>
            </w:r>
          </w:p>
        </w:tc>
        <w:tc>
          <w:tcPr>
            <w:tcW w:type="dxa" w:w="1800"/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0.9182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0.9004</w:t>
            </w:r>
          </w:p>
        </w:tc>
        <w:tc>
          <w:tcPr>
            <w:tcW w:type="dxa" w:w="1800"/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+0.0178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LR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Log-Loss / Cross-Entropy (lower better)</w:t>
            </w:r>
          </w:p>
        </w:tc>
        <w:tc>
          <w:tcPr>
            <w:tcW w:type="dxa" w:w="1800"/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0.044038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0.053432</w:t>
            </w:r>
          </w:p>
        </w:tc>
        <w:tc>
          <w:tcPr>
            <w:tcW w:type="dxa" w:w="1800"/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-0.009394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LR</w:t>
            </w:r>
          </w:p>
        </w:tc>
      </w:tr>
    </w:tbl>
    <w:p>
      <w:pPr>
        <w:spacing w:before="80"/>
      </w:pP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LR produces more accurate probability estimates as measured by both MSE-family (Brier) and entropy-family (Log-Loss) scoring rules. The Brier Skill Score of 0.9182 for LR vs 0.9004 for XGBoost indicates LR explains 91.8% of the variance in outcomes relative to the naive base rate classifier, versus 90.0% for XGBoost.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4.2 Cross-Validation Log-Loss: An Important Nuance</w:t>
      </w: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On 10-fold cross-validation within the training set (not the OOT holdout), XGBoost achieves lower Brier Score (0.0032 vs 0.0042) and lower Log-Loss (0.0125 vs 0.0177) than LR. This appears to contradict the OOT results.</w:t>
      </w: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The explanation is the training set composition: 42 bankrupt firms in 7,876 total (0.5%). With this extreme imbalance, XGBoost's scale_pos_weight correctly up-weights the loss contribution of each bankrupt firm, producing near-perfect CV scores on both classes. The CV scores reflect performance on the same distribution as training. The OOT holdout — with 18.1% bankruptcy rate — better represents a stressed production environment. OOT performance is the primary selection criterion.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pBdr>
          <w:bottom w:val="single" w:color="CCCCCC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A237E"/>
          <w:sz w:val="30"/>
          <w:szCs w:val="30"/>
        </w:rPr>
        <w:t xml:space="preserve">5. Test 3 — Statistical Significance Testing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5.1 Method</w:t>
      </w: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Wilcoxon signed-rank test (non-parametric, paired) on 10-fold stratified cross-validation results. The Wilcoxon test is preferred over paired t-test because: (1) it makes no normality assumption; (2) it is robust to small fold counts; (3) it is the standard test for classifier comparison per Demsar (2006). Two-sided p-values reported.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400"/>
        <w:gridCol w:w="1400"/>
        <w:gridCol w:w="1800"/>
      </w:tblGrid>
      <w:tr>
        <w:trPr>
          <w:tblHeader/>
        </w:trPr>
        <w:tc>
          <w:tcPr>
            <w:tcW w:type="dxa" w:w="16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Metric</w:t>
            </w:r>
          </w:p>
        </w:tc>
        <w:tc>
          <w:tcPr>
            <w:tcW w:type="dxa" w:w="14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LR CV Mean</w:t>
            </w:r>
          </w:p>
        </w:tc>
        <w:tc>
          <w:tcPr>
            <w:tcW w:type="dxa" w:w="14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XGBoost CV Mean</w:t>
            </w:r>
          </w:p>
        </w:tc>
        <w:tc>
          <w:tcPr>
            <w:tcW w:type="dxa" w:w="14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Wilcoxon p-value</w:t>
            </w:r>
          </w:p>
        </w:tc>
        <w:tc>
          <w:tcPr>
            <w:tcW w:type="dxa" w:w="14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Significance</w:t>
            </w:r>
          </w:p>
        </w:tc>
        <w:tc>
          <w:tcPr>
            <w:tcW w:type="dxa" w:w="18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Winner</w:t>
            </w:r>
          </w:p>
        </w:tc>
      </w:tr>
      <w:tr>
        <w:tc>
          <w:tcPr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AUC-ROC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0.9999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0.9997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0.0391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 (p&lt;0.05)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LR</w:t>
            </w:r>
          </w:p>
        </w:tc>
      </w:tr>
      <w:tr>
        <w:tc>
          <w:tcPr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AUC-PR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0.9975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0.9946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0.0371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 (p&lt;0.05)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LR</w:t>
            </w:r>
          </w:p>
        </w:tc>
      </w:tr>
      <w:tr>
        <w:tc>
          <w:tcPr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Brier Score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0.0042</w:t>
            </w:r>
          </w:p>
        </w:tc>
        <w:tc>
          <w:tcPr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0.0032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0.0488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 (p&lt;0.05)</w:t>
            </w:r>
          </w:p>
        </w:tc>
        <w:tc>
          <w:tcPr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XGBoost</w:t>
            </w:r>
          </w:p>
        </w:tc>
      </w:tr>
      <w:tr>
        <w:tc>
          <w:tcPr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Log-Loss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0.0177</w:t>
            </w:r>
          </w:p>
        </w:tc>
        <w:tc>
          <w:tcPr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0.0125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0.0098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 (p&lt;0.01)</w:t>
            </w:r>
          </w:p>
        </w:tc>
        <w:tc>
          <w:tcPr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XGBoost</w:t>
            </w:r>
          </w:p>
        </w:tc>
      </w:tr>
    </w:tbl>
    <w:p>
      <w:pPr>
        <w:spacing w:before="80"/>
      </w:pP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455A64"/>
          <w:sz w:val="21"/>
          <w:szCs w:val="21"/>
        </w:rPr>
        <w:t xml:space="preserve">Significance levels: *** p&lt;0.001  ** p&lt;0.01  * p&lt;0.05  ns = not significant at 5% level.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5.2 Interpretation</w:t>
      </w: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The CV results present a split picture that resolves correctly once the training vs OOT distinction is applied: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Discrimination: </w:t>
      </w:r>
      <w:r>
        <w:rPr>
          <w:rFonts w:ascii="Calibri" w:cs="Calibri" w:eastAsia="Calibri" w:hAnsi="Calibri"/>
          <w:sz w:val="21"/>
          <w:szCs w:val="21"/>
        </w:rPr>
        <w:t xml:space="preserve">LR significantly outperforms XGBoost on AUC-ROC and AUC-PR across CV folds (p&lt;0.05). These are rank-ordering metrics on the CV validation sets.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Calibration in CV: </w:t>
      </w:r>
      <w:r>
        <w:rPr>
          <w:rFonts w:ascii="Calibri" w:cs="Calibri" w:eastAsia="Calibri" w:hAnsi="Calibri"/>
          <w:sz w:val="21"/>
          <w:szCs w:val="21"/>
        </w:rPr>
        <w:t xml:space="preserve">XGBoost significantly outperforms LR on Brier Score and Log-Loss in CV folds (p&lt;0.01). As explained in Section 4.2, this reflects XGBoost's calibration to the extreme imbalance (0.5% bankrupt) in the training set, not generalisable superiority.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OOT primacy: </w:t>
      </w:r>
      <w:r>
        <w:rPr>
          <w:rFonts w:ascii="Calibri" w:cs="Calibri" w:eastAsia="Calibri" w:hAnsi="Calibri"/>
          <w:sz w:val="21"/>
          <w:szCs w:val="21"/>
        </w:rPr>
        <w:t xml:space="preserve">On the OOT holdout — which better represents production conditions with an elevated bankrupt rate — LR outperforms on both discrimination and proper scoring rules. OOT results are the primary evidence.</w:t>
      </w: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The statistical tests confirm that the performance differences are systematic, not attributable to sampling variance. The LR advantage on discrimination metrics is significant at p&lt;0.05.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pBdr>
          <w:bottom w:val="single" w:color="CCCCCC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A237E"/>
          <w:sz w:val="30"/>
          <w:szCs w:val="30"/>
        </w:rPr>
        <w:t xml:space="preserve">6. Test 4 — Probability Calibration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6.1 What Calibration Means for Credit Risk</w:t>
      </w: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A calibrated model produces probability estimates that match observed default rates. If the model says 30% for a group of firms, approximately 30% of them should default. Calibration matters for: (1) threshold-setting — the optimal threshold depends on the probability being a true probability; (2) IFRS 9 PD estimation — regulators require calibrated through-the-cycle PD estimates; (3) portfolio risk aggregation — summing uncalibrated probabilities overstates or understates expected loss.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rPr>
          <w:tblHeader/>
        </w:trPr>
        <w:tc>
          <w:tcPr>
            <w:tcW w:type="dxa" w:w="20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Calibration Error</w:t>
            </w:r>
          </w:p>
        </w:tc>
        <w:tc>
          <w:tcPr>
            <w:tcW w:type="dxa" w:w="40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000"/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LR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Mean=1.90%  Max=12.10%
(at high predicted probability bin)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Good calibration across low-probability range (the bulk of the portfolio). Some over-prediction at the high end — model says 56.3% when actual rate is 44.2% for that bin. Systematic over-prediction at margin triggers referral, which is a conservative governance property.</w:t>
            </w:r>
          </w:p>
        </w:tc>
      </w:tr>
      <w:tr>
        <w:tc>
          <w:tcPr>
            <w:tcW w:type="dxa" w:w="2000"/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XGBoost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Mean=1.35%  Max=9.57%
(at high predicted probability bin)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Marginally better calibration by mean error. XGBoost under-predicts in the borderline range (34.0% predicted vs 43.6% actual), meaning it is systematically under-calling risk for uncertain firms. This is the Firm C problem: XGBoost says 46.8% when the actual rate in that vicinity is higher.</w:t>
            </w:r>
          </w:p>
        </w:tc>
      </w:tr>
    </w:tbl>
    <w:p>
      <w:pPr>
        <w:spacing w:before="80"/>
      </w:pP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LR's calibration pattern is preferable for a credit early warning system: when uncertain, it over-predicts (flags for review) rather than under-predicts (silent pass). XGBoost's under-prediction in the borderline range is the quantitative explanation for why it misses more defaults at the portfolio level.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pBdr>
          <w:bottom w:val="single" w:color="CCCCCC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A237E"/>
          <w:sz w:val="30"/>
          <w:szCs w:val="30"/>
        </w:rPr>
        <w:t xml:space="preserve">7. Consolidated Model Selection Verdict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500"/>
        <w:gridCol w:w="1400"/>
      </w:tblGrid>
      <w:tr>
        <w:trPr>
          <w:tblHeader/>
        </w:trPr>
        <w:tc>
          <w:tcPr>
            <w:tcW w:type="dxa" w:w="25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Test Dimension</w:t>
            </w:r>
          </w:p>
        </w:tc>
        <w:tc>
          <w:tcPr>
            <w:tcW w:type="dxa" w:w="18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LR Result</w:t>
            </w:r>
          </w:p>
        </w:tc>
        <w:tc>
          <w:tcPr>
            <w:tcW w:type="dxa" w:w="18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XGBoost Result</w:t>
            </w:r>
          </w:p>
        </w:tc>
        <w:tc>
          <w:tcPr>
            <w:tcW w:type="dxa" w:w="15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Winner</w:t>
            </w:r>
          </w:p>
        </w:tc>
        <w:tc>
          <w:tcPr>
            <w:tcW w:type="dxa" w:w="1400"/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Asymmetric loss (CR 2:1)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Loss=63 (FN=4)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Loss=73 (FN=30)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LR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Primary criterion</w:t>
            </w:r>
          </w:p>
        </w:tc>
      </w:tr>
      <w:tr>
        <w:tc>
          <w:tcPr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Asymmetric loss (CR 5:1)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Loss=109 (FN=2)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Loss=128 (FN=22)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LR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Primary criterion</w:t>
            </w:r>
          </w:p>
        </w:tc>
      </w:tr>
      <w:tr>
        <w:tc>
          <w:tcPr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Asymmetric loss (CR 10:1)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Loss=162 (FN=1)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Loss=192 (FN=17)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LR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Primary criterion</w:t>
            </w:r>
          </w:p>
        </w:tc>
      </w:tr>
      <w:tr>
        <w:tc>
          <w:tcPr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OOT AUC-ROC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0.9989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0.9978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LR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Significant p&lt;0.05</w:t>
            </w:r>
          </w:p>
        </w:tc>
      </w:tr>
      <w:tr>
        <w:tc>
          <w:tcPr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OOT AUC-PR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0.9956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0.9914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LR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Significant p&lt;0.05</w:t>
            </w:r>
          </w:p>
        </w:tc>
      </w:tr>
      <w:tr>
        <w:tc>
          <w:tcPr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OOT Brier Score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0.0121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0.0148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LR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OOT basis</w:t>
            </w:r>
          </w:p>
        </w:tc>
      </w:tr>
      <w:tr>
        <w:tc>
          <w:tcPr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OOT Log-Loss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0.0440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0.0534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LR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OOT basis</w:t>
            </w:r>
          </w:p>
        </w:tc>
      </w:tr>
      <w:tr>
        <w:tc>
          <w:tcPr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CV Brier Score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0.0042</w:t>
            </w:r>
          </w:p>
        </w:tc>
        <w:tc>
          <w:tcPr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0.0032</w:t>
            </w:r>
          </w:p>
        </w:tc>
        <w:tc>
          <w:tcPr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XGBoost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Sig p&lt;0.05
(training imbalance effect)</w:t>
            </w:r>
          </w:p>
        </w:tc>
      </w:tr>
      <w:tr>
        <w:tc>
          <w:tcPr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CV Log-Loss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0.0177</w:t>
            </w:r>
          </w:p>
        </w:tc>
        <w:tc>
          <w:tcPr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0.0125</w:t>
            </w:r>
          </w:p>
        </w:tc>
        <w:tc>
          <w:tcPr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XGBoost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Sig p&lt;0.01
(training imbalance effect)</w:t>
            </w:r>
          </w:p>
        </w:tc>
      </w:tr>
      <w:tr>
        <w:tc>
          <w:tcPr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Calibration (mean error)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1.90%</w:t>
            </w:r>
          </w:p>
        </w:tc>
        <w:tc>
          <w:tcPr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1.35%</w:t>
            </w:r>
          </w:p>
        </w:tc>
        <w:tc>
          <w:tcPr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XGBoost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Marginal difference</w:t>
            </w:r>
          </w:p>
        </w:tc>
      </w:tr>
      <w:tr>
        <w:tc>
          <w:tcPr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Calibration direction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Over-predicts borderline
→ flags for review (PREFERRED)</w:t>
            </w:r>
          </w:p>
        </w:tc>
        <w:tc>
          <w:tcPr>
            <w:shd w:fill="FFCD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Under-predicts borderline
→ silent pass (ADVERSE)</w:t>
            </w:r>
          </w:p>
        </w:tc>
        <w:tc>
          <w:tcPr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LR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Governance criterion</w:t>
            </w:r>
          </w:p>
        </w:tc>
      </w:tr>
    </w:tbl>
    <w:p>
      <w:pPr>
        <w:spacing w:before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7.1 Decision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Primary model: </w:t>
      </w:r>
      <w:r>
        <w:rPr>
          <w:rFonts w:ascii="Calibri" w:cs="Calibri" w:eastAsia="Calibri" w:hAnsi="Calibri"/>
          <w:sz w:val="21"/>
          <w:szCs w:val="21"/>
        </w:rPr>
        <w:t xml:space="preserve">Logistic Regression. LR wins the primary selection criterion (asymmetric credit loss) across all cost ratios up to 10:1. It wins on discrimination metrics (AUC-ROC, AUC-PR) with statistical significance. On the OOT holdout it wins on both proper scoring rules. Its calibration direction — over-predicting in the borderline zone — is the correct governance property for a credit early warning system.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Challenger model: </w:t>
      </w:r>
      <w:r>
        <w:rPr>
          <w:rFonts w:ascii="Calibri" w:cs="Calibri" w:eastAsia="Calibri" w:hAnsi="Calibri"/>
          <w:sz w:val="21"/>
          <w:szCs w:val="21"/>
        </w:rPr>
        <w:t xml:space="preserve">XGBoost. XGBoost wins on CV scoring rules (reflecting its optimisation for the training imbalance), on calibration mean error, and at extreme cost ratios (20:1+). It is retained as challenger for three purposes: (1) disagreement with LR is a governance signal that triggers enhanced manual review; (2) it provides independent non-linear challenge for stress scenarios not represented in the training data; (3) its SHAP audit diagnostics (ESR, drift, stability) remain valid as an independent challenge framework for the LR model itself.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pBdr>
          <w:bottom w:val="single" w:color="CCCCCC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A237E"/>
          <w:sz w:val="30"/>
          <w:szCs w:val="30"/>
        </w:rPr>
        <w:t xml:space="preserve">8. Governance Implications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8.1 Required Documentation Updates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Model card: update primary model from XGBoost to LR. Document XGBoost as challenger. Record this model selection report as the evidence base.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Datasheet: no change required — same dataset, same features.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Audit toolkit: re-run all SHAP diagnostics with LR as primary. XGBoost SHAP diagnostics retained as independent challenge layer.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Threshold documentation: publish the cost-ratio analysis table as the basis for the operational decision threshold. Recommend 5:1 as baseline (threshold 16.7%) with institution review.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8.2 Operational Framework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Primary trigger: </w:t>
      </w:r>
      <w:r>
        <w:rPr>
          <w:rFonts w:ascii="Calibri" w:cs="Calibri" w:eastAsia="Calibri" w:hAnsi="Calibri"/>
          <w:sz w:val="21"/>
          <w:szCs w:val="21"/>
        </w:rPr>
        <w:t xml:space="preserve">LR score above threshold: watchlist referral. Analyst receives LR local SHAP attribution and XGBoost score as second opinion.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Model disagreement: </w:t>
      </w:r>
      <w:r>
        <w:rPr>
          <w:rFonts w:ascii="Calibri" w:cs="Calibri" w:eastAsia="Calibri" w:hAnsi="Calibri"/>
          <w:sz w:val="21"/>
          <w:szCs w:val="21"/>
        </w:rPr>
        <w:t xml:space="preserve">LR flags, XGBoost clears: enhanced review with Firm C checklist. Both models required to agree before any clearance.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Reverse disagreement: </w:t>
      </w:r>
      <w:r>
        <w:rPr>
          <w:rFonts w:ascii="Calibri" w:cs="Calibri" w:eastAsia="Calibri" w:hAnsi="Calibri"/>
          <w:sz w:val="21"/>
          <w:szCs w:val="21"/>
        </w:rPr>
        <w:t xml:space="preserve">LR clears, XGBoost flags: escalate immediately. XGBoost is flagging non-linear risk the linear model cannot see. This is the most important disagreement signal.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Both clear: </w:t>
      </w:r>
      <w:r>
        <w:rPr>
          <w:rFonts w:ascii="Calibri" w:cs="Calibri" w:eastAsia="Calibri" w:hAnsi="Calibri"/>
          <w:sz w:val="21"/>
          <w:szCs w:val="21"/>
        </w:rPr>
        <w:t xml:space="preserve">Both models clear: standard monitoring cycle.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8.3 Limitations of This Selection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The OOT partition is a pseudo-OOT based on distress score, not a true calendar cohort. The five-year UCI cohort files would enable a true temporal validation.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The cost ratios used (2:1 to 50:1) are illustrative. The institution must determine its own cost ratio from actual loss data, LGD estimates, and operational review costs.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LR assumes linearity. If the production portfolio has material non-linear credit dynamics (e.g., leveraged buyout structures, covenant-heavy credits), XGBoost may perform differently on that sub-population.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This selection was made on a Polish GAAP dataset. Re-validation is required before applying either model to IFRS or US GAAP portfolios.</w:t>
      </w:r>
    </w:p>
    <w:p>
      <w:pPr>
        <w:spacing w:before="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9E9E9E"/>
          <w:sz w:val="20"/>
          <w:szCs w:val="20"/>
        </w:rPr>
        <w:t xml:space="preserve">END OF MODEL SELECTION REPORT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2026-08-31T10:47:00.575Z</dcterms:created>
  <dcterms:modified xsi:type="dcterms:W3CDTF">2026-08-31T10:47:00.588Z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