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AI Project Intelligence &amp; Risk Advisor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Milestone 1 — Architecture &amp; Design Document</w:t>
      </w:r>
    </w:p>
    <w:p>
      <w:pPr>
        <w:pStyle w:val="Heading1"/>
        <w:spacing w:after="150" w:before="300"/>
      </w:pPr>
      <w:r>
        <w:t xml:space="preserve">1. Purpose &amp; Scope</w:t>
      </w:r>
    </w:p>
    <w:p>
      <w:pPr>
        <w:spacing w:after="120"/>
      </w:pPr>
      <w:r>
        <w:t xml:space="preserve">This document describes the system architecture delivered for Milestone 1: a document ingestion module and a Retrieval-Augmented Generation (RAG) pipeline that together allow project documents to be uploaded, processed, and made searchable by semantic similarity. Later milestones will add analysis agents (risk, scope, health scoring) and a chat assistant on top of this foundation; this document scopes only what M1 implements.</w:t>
      </w:r>
    </w:p>
    <w:p>
      <w:pPr>
        <w:pStyle w:val="Heading1"/>
        <w:spacing w:after="150" w:before="300"/>
      </w:pPr>
      <w:r>
        <w:t xml:space="preserve">2. High-Level Architecture</w:t>
      </w:r>
    </w:p>
    <w:p>
      <w:pPr>
        <w:spacing w:after="120"/>
      </w:pPr>
      <w:r>
        <w:t xml:space="preserve">The system follows a linear pipeline: a client uploads a document, the ingestion layer extracts raw text, the RAG layer splits it into chunks, generates vector embeddings for each chunk, and stores them in a persistent vector index. A separate query path embeds a natural-language question the same way and retrieves the most semantically similar chunks. Both paths converge on the same embedding step, so a query is compared against the exact vector space the documents were indexed into.</w:t>
      </w:r>
    </w:p>
    <w:p>
      <w:pPr>
        <w:spacing w:after="200" w:before="100"/>
        <w:jc w:val="center"/>
      </w:pPr>
      <w:r>
        <w:drawing>
          <wp:inline distT="0" distB="0" distL="0" distR="0">
            <wp:extent cx="4000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Module Breakdown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0"/>
      </w:tblGrid>
      <w:tr>
        <w:trPr>
          <w:tblHeader/>
        </w:trP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app/ingestion/extractors.py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Detects file type (PDF/DOCX/CSV/TXT) and converts it to plain text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app/ingestion/router.py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/upload endpoint: orchestrates extract -&gt; chunk -&gt; embed -&gt; store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app/rag/chunker.py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Splits text into overlapping, fixed-size word chunks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app/rag/embedder.py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Converts text chunks/queries into vector embeddings (sentence-transformers)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app/rag/vector_store.py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Wraps ChromaDB: add chunks, similarity search, persistence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app/rag/router.py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/query endpoint: embeds a question and returns similar chunks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app/models/schemas.py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Pydantic request/response contracts for the API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app/config.py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Central settings: paths, chunk size/overlap, embedding model name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Data Flow</w:t>
      </w:r>
    </w:p>
    <w:p>
      <w:pPr>
        <w:pStyle w:val="Heading2"/>
        <w:spacing w:after="100" w:before="200"/>
      </w:pPr>
      <w:r>
        <w:t xml:space="preserve">4.1 Ingestion Flow (/upload)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is received and saved to data/uploads/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extract_text() routes to the correct extractor based on file extension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chunk_documents() splits extracted text into ~200-word chunks with 40-word overlap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embed_texts() converts each chunk into a 384-dimension vector using all-MiniLM-L6-v2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add_chunks() stores vectors + chunk text + source metadata in ChromaDB, persisted to disk</w:t>
      </w:r>
    </w:p>
    <w:p>
      <w:pPr>
        <w:pStyle w:val="Heading2"/>
        <w:spacing w:after="100" w:before="200"/>
      </w:pPr>
      <w:r>
        <w:t xml:space="preserve">4.2 Query Flow (/query)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User's natural-language question is embedded using the same model as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query_similar() performs cosine-distance similarity search against stored vectors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Top-k matching chunks are returned with their source file, chunk id, and distance score</w:t>
      </w:r>
    </w:p>
    <w:p>
      <w:pPr>
        <w:pStyle w:val="Heading1"/>
        <w:spacing w:after="150" w:before="300"/>
      </w:pPr>
      <w:r>
        <w:t xml:space="preserve">5. Data Models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Chunk (stored)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id (source::chunk_id), text, embedding, source, chunk_id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One row per chunk in ChromaDB collection 'project_documents'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UploadResponse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filename, chunks_added, total_chunks_in_store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Returned by /upload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QueryRequest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query (str), top_k (int, default 5)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Input to /query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QueryResponse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query, results: [RetrievedChunk]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Returned by /query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RetrievedChunk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text, source, chunk_id, distance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One retrieved match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Technology Stack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8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API framework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FastAPI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Async, automatic Swagger UI for manual testing, low boilerplate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PDF extraction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pypdf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Lightweight, no external binary dependency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DOCX extraction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python-docx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Standard library-grade docx reader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CSV extraction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pandas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Robust CSV parsing, reused elsewhere in the project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Embedding model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sentence-transformers (all-MiniLM-L6-v2)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Runs locally, no API key or cost, fast, 384-dim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Vector store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ChromaDB (persistent client)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Required by project spec; simple local persistence, no external server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Design Decisions &amp; Trade-offs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Word-count-based chunking (not sentence/paragraph-aware) was chosen for M1 for simplicity and speed; can be upgraded to semantic chunking later if retrieval quality needs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 run locally rather than via an external API to avoid key management and cost, and to keep the pipeline fully offline-capable.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ChromaDB runs in persistent local mode (no server) to minimize setup complexity for this milestone; the same code can point to a hosted Chroma instance later without interface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only returns raw chunks in M1 by design — answer generation (the 'AG' in RAG) is deliberately deferred to the milestone that introduces the chat assistant/agents, per project scope.</w:t>
      </w:r>
    </w:p>
    <w:p>
      <w:pPr>
        <w:pStyle w:val="Heading1"/>
        <w:spacing w:after="150" w:before="300"/>
      </w:pPr>
      <w:r>
        <w:t xml:space="preserve">8. Out of Scope for Milestone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Risk/scope/health-scoring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assistant / LLM-generated answers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Authentication, multi-user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Dashboard/UI beyond the Swagger test interface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d9c9e74368c01e2e609e1b9b2cbd91a3814f8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2026-09-04T04:48:38.422Z</dcterms:created>
  <dcterms:modified xsi:type="dcterms:W3CDTF">2026-09-04T04:48:38.433Z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