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775E" w14:textId="77777777" w:rsidR="00D54D23" w:rsidRDefault="00000000">
      <w:pPr>
        <w:spacing w:after="60"/>
      </w:pPr>
      <w:r>
        <w:rPr>
          <w:b/>
          <w:bCs/>
          <w:color w:val="1F3864"/>
          <w:sz w:val="40"/>
          <w:szCs w:val="40"/>
        </w:rPr>
        <w:t>HospSafe-Analytics</w:t>
      </w:r>
    </w:p>
    <w:p w14:paraId="7CD5F9FB" w14:textId="77777777" w:rsidR="00D54D23" w:rsidRDefault="00000000">
      <w:pPr>
        <w:spacing w:after="40"/>
      </w:pPr>
      <w:r>
        <w:rPr>
          <w:color w:val="595959"/>
          <w:sz w:val="26"/>
          <w:szCs w:val="26"/>
        </w:rPr>
        <w:t>CMS Patient Safety &amp; Quality Performance Tracker</w:t>
      </w:r>
    </w:p>
    <w:p w14:paraId="4CD39F39" w14:textId="77777777" w:rsidR="00CE75F8" w:rsidRDefault="00000000" w:rsidP="00CE75F8">
      <w:pPr>
        <w:spacing w:after="300"/>
      </w:pPr>
      <w:r>
        <w:rPr>
          <w:b/>
          <w:bCs/>
          <w:color w:val="C00000"/>
          <w:sz w:val="30"/>
          <w:szCs w:val="30"/>
        </w:rPr>
        <w:t>Outlier Findings Report</w:t>
      </w:r>
    </w:p>
    <w:p w14:paraId="7583D5EE" w14:textId="72D0BC45" w:rsidR="00D54D23" w:rsidRDefault="00000000" w:rsidP="00CE75F8">
      <w:pPr>
        <w:spacing w:after="300"/>
      </w:pPr>
      <w:r>
        <w:rPr>
          <w:i/>
          <w:iCs/>
        </w:rPr>
        <w:t>Report date: July 20, 2026</w:t>
      </w:r>
    </w:p>
    <w:p w14:paraId="5DB2FEED" w14:textId="77777777" w:rsidR="00D54D23" w:rsidRDefault="00000000">
      <w:pPr>
        <w:pStyle w:val="Heading1"/>
        <w:spacing w:before="320" w:after="160"/>
      </w:pPr>
      <w:r>
        <w:rPr>
          <w:b/>
          <w:bCs/>
          <w:color w:val="1F3864"/>
        </w:rPr>
        <w:t>1. Executive Summary</w:t>
      </w:r>
    </w:p>
    <w:p w14:paraId="36EAA07E" w14:textId="77777777" w:rsidR="00D54D23" w:rsidRDefault="00000000">
      <w:pPr>
        <w:spacing w:after="160"/>
      </w:pPr>
      <w:r>
        <w:rPr>
          <w:sz w:val="22"/>
          <w:szCs w:val="22"/>
        </w:rPr>
        <w:t>This report summarizes the results of the HospSafe-Analytics outlier screen, which flags facilities whose Composite Risk Penalty Index (CRPI) — a weighted blend of patient-safety and readmission measures performing worse than the national rate — exceeds the IQR-based statistical outlier threshold derived from the full facility dataset.</w:t>
      </w:r>
    </w:p>
    <w:p w14:paraId="621BC5CE" w14:textId="77777777" w:rsidR="00D54D23" w:rsidRDefault="00000000">
      <w:pPr>
        <w:spacing w:after="160"/>
      </w:pPr>
      <w:r>
        <w:rPr>
          <w:sz w:val="22"/>
          <w:szCs w:val="22"/>
        </w:rPr>
        <w:t>The screen identified 2 outlier facilities out of the analyzed hospital population. Both flagged facilities carry the maximum possible Composite Risk Penalty Index score (100 out of 100), indicating that effectively all of their reported safety and readmission measures were flagged as performing worse than the national benchmark. Both facilities also fall in the lowest tier of CMS Overall Star Ratings (1 and 2 stars respectively), which is directionally consistent with a high risk-penalty score rather than contradicting it.</w:t>
      </w:r>
    </w:p>
    <w:p w14:paraId="5E806D57" w14:textId="77777777" w:rsidR="00D54D23" w:rsidRDefault="00000000">
      <w:pPr>
        <w:spacing w:after="160"/>
      </w:pPr>
      <w:r>
        <w:rPr>
          <w:sz w:val="22"/>
          <w:szCs w:val="22"/>
        </w:rPr>
        <w:t>Notably, both outliers share the same ownership category — Voluntary non-profit (Private) — despite being in different states (California and Texas). With only two flagged facilities, this is not yet a statistically meaningful pattern, but it is worth tracking as additional reporting periods are analyzed.</w:t>
      </w:r>
    </w:p>
    <w:p w14:paraId="7FEF85F5" w14:textId="77777777" w:rsidR="00D54D23" w:rsidRDefault="00000000">
      <w:pPr>
        <w:pStyle w:val="Heading1"/>
        <w:spacing w:before="320" w:after="160"/>
      </w:pPr>
      <w:r>
        <w:rPr>
          <w:b/>
          <w:bCs/>
          <w:color w:val="1F3864"/>
        </w:rPr>
        <w:t>2. Methodology Recap</w:t>
      </w:r>
    </w:p>
    <w:p w14:paraId="22F302AA" w14:textId="2C77816A" w:rsidR="00D54D23" w:rsidRDefault="00000000">
      <w:pPr>
        <w:spacing w:after="160"/>
      </w:pPr>
      <w:r>
        <w:rPr>
          <w:sz w:val="22"/>
          <w:szCs w:val="22"/>
        </w:rPr>
        <w:t>The underlying analysis (see analysis.</w:t>
      </w:r>
      <w:r w:rsidR="00CE75F8">
        <w:rPr>
          <w:sz w:val="22"/>
          <w:szCs w:val="22"/>
        </w:rPr>
        <w:t>i</w:t>
      </w:r>
      <w:r>
        <w:rPr>
          <w:sz w:val="22"/>
          <w:szCs w:val="22"/>
        </w:rPr>
        <w:t>py</w:t>
      </w:r>
      <w:r w:rsidR="00CE75F8">
        <w:rPr>
          <w:sz w:val="22"/>
          <w:szCs w:val="22"/>
        </w:rPr>
        <w:t>nb</w:t>
      </w:r>
      <w:r>
        <w:rPr>
          <w:sz w:val="22"/>
          <w:szCs w:val="22"/>
        </w:rPr>
        <w:t>) followed four steps:</w:t>
      </w:r>
    </w:p>
    <w:p w14:paraId="5FB9F492" w14:textId="77777777" w:rsidR="00D54D23" w:rsidRDefault="00000000">
      <w:pPr>
        <w:pStyle w:val="ListParagraph"/>
        <w:numPr>
          <w:ilvl w:val="0"/>
          <w:numId w:val="2"/>
        </w:numPr>
        <w:spacing w:after="100"/>
      </w:pPr>
      <w:r>
        <w:rPr>
          <w:sz w:val="22"/>
          <w:szCs w:val="22"/>
        </w:rPr>
        <w:t>Loaded the CMS-modeled hospital and safety-measure export and explicitly flagged unrated facilities rather than imputing a rating.</w:t>
      </w:r>
    </w:p>
    <w:p w14:paraId="7BE86372" w14:textId="77777777" w:rsidR="00D54D23" w:rsidRDefault="00000000">
      <w:pPr>
        <w:pStyle w:val="ListParagraph"/>
        <w:numPr>
          <w:ilvl w:val="0"/>
          <w:numId w:val="2"/>
        </w:numPr>
        <w:spacing w:after="100"/>
      </w:pPr>
      <w:r>
        <w:rPr>
          <w:sz w:val="22"/>
          <w:szCs w:val="22"/>
        </w:rPr>
        <w:t>Computed the Composite Risk Penalty Index per facility: (1.5 × safety measures worse + 1.0 × readmission measures worse) ÷ total reported measures × 100.</w:t>
      </w:r>
    </w:p>
    <w:p w14:paraId="1D3C0786" w14:textId="77777777" w:rsidR="00D54D23" w:rsidRDefault="00000000">
      <w:pPr>
        <w:pStyle w:val="ListParagraph"/>
        <w:numPr>
          <w:ilvl w:val="0"/>
          <w:numId w:val="2"/>
        </w:numPr>
        <w:spacing w:after="100"/>
      </w:pPr>
      <w:r>
        <w:rPr>
          <w:sz w:val="22"/>
          <w:szCs w:val="22"/>
        </w:rPr>
        <w:t>Calculated the IQR (interquartile range) of the CRPI across all rated/measured facilities and flagged any facility above Q3 + 1.5×IQR as a statistical outlier.</w:t>
      </w:r>
    </w:p>
    <w:p w14:paraId="22F963F1" w14:textId="77777777" w:rsidR="00D54D23" w:rsidRDefault="00000000">
      <w:pPr>
        <w:pStyle w:val="ListParagraph"/>
        <w:numPr>
          <w:ilvl w:val="0"/>
          <w:numId w:val="2"/>
        </w:numPr>
        <w:spacing w:after="100"/>
      </w:pPr>
      <w:r>
        <w:rPr>
          <w:sz w:val="22"/>
          <w:szCs w:val="22"/>
        </w:rPr>
        <w:t>Exported the flagged facilities, sorted by descending CRPI, to outlier_worklist.xlsx — the source file for this report.</w:t>
      </w:r>
    </w:p>
    <w:p w14:paraId="547BDA3C" w14:textId="77777777" w:rsidR="00D54D23" w:rsidRDefault="00000000">
      <w:pPr>
        <w:pStyle w:val="Heading1"/>
        <w:spacing w:before="320" w:after="160"/>
      </w:pPr>
      <w:r>
        <w:rPr>
          <w:b/>
          <w:bCs/>
          <w:color w:val="1F3864"/>
        </w:rPr>
        <w:t>3. Findings: Flagged Outlier Facilities</w:t>
      </w:r>
    </w:p>
    <w:p w14:paraId="2E7006CA" w14:textId="77777777" w:rsidR="00D54D23" w:rsidRDefault="00000000">
      <w:pPr>
        <w:spacing w:after="160"/>
      </w:pPr>
      <w:r>
        <w:rPr>
          <w:sz w:val="22"/>
          <w:szCs w:val="22"/>
        </w:rPr>
        <w:t>The table below lists both facilities flagged by the outlier screen, in descending order of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5"/>
        <w:gridCol w:w="1118"/>
        <w:gridCol w:w="674"/>
        <w:gridCol w:w="1185"/>
        <w:gridCol w:w="818"/>
        <w:gridCol w:w="730"/>
      </w:tblGrid>
      <w:tr w:rsidR="00D54D23" w14:paraId="044699B4" w14:textId="77777777">
        <w:tblPrEx>
          <w:tblCellMar>
            <w:top w:w="0" w:type="dxa"/>
            <w:bottom w:w="0" w:type="dxa"/>
          </w:tblCellMar>
        </w:tblPrEx>
        <w:trPr>
          <w:tblHeader/>
        </w:trPr>
        <w:tc>
          <w:tcPr>
            <w:tcW w:w="5000" w:type="pct"/>
            <w:shd w:val="clear" w:color="auto" w:fill="1F3864"/>
            <w:tcMar>
              <w:top w:w="100" w:type="dxa"/>
              <w:left w:w="120" w:type="dxa"/>
              <w:bottom w:w="100" w:type="dxa"/>
              <w:right w:w="120" w:type="dxa"/>
            </w:tcMar>
            <w:vAlign w:val="center"/>
          </w:tcPr>
          <w:p w14:paraId="1AC148CE" w14:textId="77777777" w:rsidR="00D54D23" w:rsidRDefault="00000000">
            <w:r>
              <w:rPr>
                <w:b/>
                <w:bCs/>
                <w:color w:val="FFFFFF"/>
              </w:rPr>
              <w:t>Facility ID</w:t>
            </w:r>
          </w:p>
        </w:tc>
        <w:tc>
          <w:tcPr>
            <w:tcW w:w="5000" w:type="pct"/>
            <w:shd w:val="clear" w:color="auto" w:fill="1F3864"/>
            <w:tcMar>
              <w:top w:w="100" w:type="dxa"/>
              <w:left w:w="120" w:type="dxa"/>
              <w:bottom w:w="100" w:type="dxa"/>
              <w:right w:w="120" w:type="dxa"/>
            </w:tcMar>
            <w:vAlign w:val="center"/>
          </w:tcPr>
          <w:p w14:paraId="0412BD03" w14:textId="77777777" w:rsidR="00D54D23" w:rsidRDefault="00000000">
            <w:r>
              <w:rPr>
                <w:b/>
                <w:bCs/>
                <w:color w:val="FFFFFF"/>
              </w:rPr>
              <w:t>Facility Name</w:t>
            </w:r>
          </w:p>
        </w:tc>
        <w:tc>
          <w:tcPr>
            <w:tcW w:w="5000" w:type="pct"/>
            <w:shd w:val="clear" w:color="auto" w:fill="1F3864"/>
            <w:tcMar>
              <w:top w:w="100" w:type="dxa"/>
              <w:left w:w="120" w:type="dxa"/>
              <w:bottom w:w="100" w:type="dxa"/>
              <w:right w:w="120" w:type="dxa"/>
            </w:tcMar>
            <w:vAlign w:val="center"/>
          </w:tcPr>
          <w:p w14:paraId="5DE9DC14" w14:textId="77777777" w:rsidR="00D54D23" w:rsidRDefault="00000000">
            <w:r>
              <w:rPr>
                <w:b/>
                <w:bCs/>
                <w:color w:val="FFFFFF"/>
              </w:rPr>
              <w:t>State</w:t>
            </w:r>
          </w:p>
        </w:tc>
        <w:tc>
          <w:tcPr>
            <w:tcW w:w="5000" w:type="pct"/>
            <w:shd w:val="clear" w:color="auto" w:fill="1F3864"/>
            <w:tcMar>
              <w:top w:w="100" w:type="dxa"/>
              <w:left w:w="120" w:type="dxa"/>
              <w:bottom w:w="100" w:type="dxa"/>
              <w:right w:w="120" w:type="dxa"/>
            </w:tcMar>
            <w:vAlign w:val="center"/>
          </w:tcPr>
          <w:p w14:paraId="6FACC9BF" w14:textId="77777777" w:rsidR="00D54D23" w:rsidRDefault="00000000">
            <w:r>
              <w:rPr>
                <w:b/>
                <w:bCs/>
                <w:color w:val="FFFFFF"/>
              </w:rPr>
              <w:t>Ownership</w:t>
            </w:r>
          </w:p>
        </w:tc>
        <w:tc>
          <w:tcPr>
            <w:tcW w:w="5000" w:type="pct"/>
            <w:shd w:val="clear" w:color="auto" w:fill="1F3864"/>
            <w:tcMar>
              <w:top w:w="100" w:type="dxa"/>
              <w:left w:w="120" w:type="dxa"/>
              <w:bottom w:w="100" w:type="dxa"/>
              <w:right w:w="120" w:type="dxa"/>
            </w:tcMar>
            <w:vAlign w:val="center"/>
          </w:tcPr>
          <w:p w14:paraId="52C4A676" w14:textId="77777777" w:rsidR="00D54D23" w:rsidRDefault="00000000">
            <w:r>
              <w:rPr>
                <w:b/>
                <w:bCs/>
                <w:color w:val="FFFFFF"/>
              </w:rPr>
              <w:t>Rating</w:t>
            </w:r>
          </w:p>
        </w:tc>
        <w:tc>
          <w:tcPr>
            <w:tcW w:w="5000" w:type="pct"/>
            <w:shd w:val="clear" w:color="auto" w:fill="1F3864"/>
            <w:tcMar>
              <w:top w:w="100" w:type="dxa"/>
              <w:left w:w="120" w:type="dxa"/>
              <w:bottom w:w="100" w:type="dxa"/>
              <w:right w:w="120" w:type="dxa"/>
            </w:tcMar>
            <w:vAlign w:val="center"/>
          </w:tcPr>
          <w:p w14:paraId="5D32E34B" w14:textId="77777777" w:rsidR="00D54D23" w:rsidRDefault="00000000">
            <w:r>
              <w:rPr>
                <w:b/>
                <w:bCs/>
                <w:color w:val="FFFFFF"/>
              </w:rPr>
              <w:t>Risk Index</w:t>
            </w:r>
          </w:p>
        </w:tc>
      </w:tr>
      <w:tr w:rsidR="00D54D23" w14:paraId="005CA280" w14:textId="77777777">
        <w:tblPrEx>
          <w:tblCellMar>
            <w:top w:w="0" w:type="dxa"/>
            <w:bottom w:w="0" w:type="dxa"/>
          </w:tblCellMar>
        </w:tblPrEx>
        <w:tc>
          <w:tcPr>
            <w:tcW w:w="5000" w:type="pct"/>
            <w:shd w:val="clear" w:color="auto" w:fill="FCE4E4"/>
            <w:tcMar>
              <w:top w:w="100" w:type="dxa"/>
              <w:left w:w="120" w:type="dxa"/>
              <w:bottom w:w="100" w:type="dxa"/>
              <w:right w:w="120" w:type="dxa"/>
            </w:tcMar>
            <w:vAlign w:val="center"/>
          </w:tcPr>
          <w:p w14:paraId="23833F9F" w14:textId="77777777" w:rsidR="00D54D23" w:rsidRDefault="00000000">
            <w:r>
              <w:rPr>
                <w:color w:val="000000"/>
              </w:rPr>
              <w:t>H100089</w:t>
            </w:r>
          </w:p>
        </w:tc>
        <w:tc>
          <w:tcPr>
            <w:tcW w:w="5000" w:type="pct"/>
            <w:shd w:val="clear" w:color="auto" w:fill="FCE4E4"/>
            <w:tcMar>
              <w:top w:w="100" w:type="dxa"/>
              <w:left w:w="120" w:type="dxa"/>
              <w:bottom w:w="100" w:type="dxa"/>
              <w:right w:w="120" w:type="dxa"/>
            </w:tcMar>
            <w:vAlign w:val="center"/>
          </w:tcPr>
          <w:p w14:paraId="7D2C7732" w14:textId="77777777" w:rsidR="00D54D23" w:rsidRDefault="00000000">
            <w:r>
              <w:rPr>
                <w:color w:val="000000"/>
              </w:rPr>
              <w:t>Southport University Medical Center</w:t>
            </w:r>
          </w:p>
        </w:tc>
        <w:tc>
          <w:tcPr>
            <w:tcW w:w="5000" w:type="pct"/>
            <w:shd w:val="clear" w:color="auto" w:fill="FCE4E4"/>
            <w:tcMar>
              <w:top w:w="100" w:type="dxa"/>
              <w:left w:w="120" w:type="dxa"/>
              <w:bottom w:w="100" w:type="dxa"/>
              <w:right w:w="120" w:type="dxa"/>
            </w:tcMar>
            <w:vAlign w:val="center"/>
          </w:tcPr>
          <w:p w14:paraId="2DE5C176" w14:textId="77777777" w:rsidR="00D54D23" w:rsidRDefault="00000000">
            <w:r>
              <w:rPr>
                <w:color w:val="000000"/>
              </w:rPr>
              <w:t>CA</w:t>
            </w:r>
          </w:p>
        </w:tc>
        <w:tc>
          <w:tcPr>
            <w:tcW w:w="5000" w:type="pct"/>
            <w:shd w:val="clear" w:color="auto" w:fill="FCE4E4"/>
            <w:tcMar>
              <w:top w:w="100" w:type="dxa"/>
              <w:left w:w="120" w:type="dxa"/>
              <w:bottom w:w="100" w:type="dxa"/>
              <w:right w:w="120" w:type="dxa"/>
            </w:tcMar>
            <w:vAlign w:val="center"/>
          </w:tcPr>
          <w:p w14:paraId="623B8EED" w14:textId="77777777" w:rsidR="00D54D23" w:rsidRDefault="00000000">
            <w:r>
              <w:rPr>
                <w:color w:val="000000"/>
              </w:rPr>
              <w:t>Voluntary non-profit - Private</w:t>
            </w:r>
          </w:p>
        </w:tc>
        <w:tc>
          <w:tcPr>
            <w:tcW w:w="5000" w:type="pct"/>
            <w:shd w:val="clear" w:color="auto" w:fill="FCE4E4"/>
            <w:tcMar>
              <w:top w:w="100" w:type="dxa"/>
              <w:left w:w="120" w:type="dxa"/>
              <w:bottom w:w="100" w:type="dxa"/>
              <w:right w:w="120" w:type="dxa"/>
            </w:tcMar>
            <w:vAlign w:val="center"/>
          </w:tcPr>
          <w:p w14:paraId="21E709BE" w14:textId="77777777" w:rsidR="00D54D23" w:rsidRDefault="00000000">
            <w:r>
              <w:rPr>
                <w:color w:val="000000"/>
              </w:rPr>
              <w:t>1 star</w:t>
            </w:r>
          </w:p>
        </w:tc>
        <w:tc>
          <w:tcPr>
            <w:tcW w:w="5000" w:type="pct"/>
            <w:shd w:val="clear" w:color="auto" w:fill="FCE4E4"/>
            <w:tcMar>
              <w:top w:w="100" w:type="dxa"/>
              <w:left w:w="120" w:type="dxa"/>
              <w:bottom w:w="100" w:type="dxa"/>
              <w:right w:w="120" w:type="dxa"/>
            </w:tcMar>
            <w:vAlign w:val="center"/>
          </w:tcPr>
          <w:p w14:paraId="376D8A3A" w14:textId="77777777" w:rsidR="00D54D23" w:rsidRDefault="00000000">
            <w:r>
              <w:rPr>
                <w:color w:val="000000"/>
              </w:rPr>
              <w:t>100 / 100</w:t>
            </w:r>
          </w:p>
        </w:tc>
      </w:tr>
      <w:tr w:rsidR="00D54D23" w14:paraId="7784E60D" w14:textId="77777777">
        <w:tblPrEx>
          <w:tblCellMar>
            <w:top w:w="0" w:type="dxa"/>
            <w:bottom w:w="0" w:type="dxa"/>
          </w:tblCellMar>
        </w:tblPrEx>
        <w:tc>
          <w:tcPr>
            <w:tcW w:w="5000" w:type="pct"/>
            <w:shd w:val="clear" w:color="auto" w:fill="FFFFFF"/>
            <w:tcMar>
              <w:top w:w="100" w:type="dxa"/>
              <w:left w:w="120" w:type="dxa"/>
              <w:bottom w:w="100" w:type="dxa"/>
              <w:right w:w="120" w:type="dxa"/>
            </w:tcMar>
            <w:vAlign w:val="center"/>
          </w:tcPr>
          <w:p w14:paraId="7CD2AA4A" w14:textId="77777777" w:rsidR="00D54D23" w:rsidRDefault="00000000">
            <w:r>
              <w:rPr>
                <w:color w:val="000000"/>
              </w:rPr>
              <w:t>H100040</w:t>
            </w:r>
          </w:p>
        </w:tc>
        <w:tc>
          <w:tcPr>
            <w:tcW w:w="5000" w:type="pct"/>
            <w:shd w:val="clear" w:color="auto" w:fill="FFFFFF"/>
            <w:tcMar>
              <w:top w:w="100" w:type="dxa"/>
              <w:left w:w="120" w:type="dxa"/>
              <w:bottom w:w="100" w:type="dxa"/>
              <w:right w:w="120" w:type="dxa"/>
            </w:tcMar>
            <w:vAlign w:val="center"/>
          </w:tcPr>
          <w:p w14:paraId="38DBD604" w14:textId="77777777" w:rsidR="00D54D23" w:rsidRDefault="00000000">
            <w:r>
              <w:rPr>
                <w:color w:val="000000"/>
              </w:rPr>
              <w:t xml:space="preserve">Westbrook Health </w:t>
            </w:r>
            <w:r>
              <w:rPr>
                <w:color w:val="000000"/>
              </w:rPr>
              <w:lastRenderedPageBreak/>
              <w:t>System Hospital</w:t>
            </w:r>
          </w:p>
        </w:tc>
        <w:tc>
          <w:tcPr>
            <w:tcW w:w="5000" w:type="pct"/>
            <w:shd w:val="clear" w:color="auto" w:fill="FFFFFF"/>
            <w:tcMar>
              <w:top w:w="100" w:type="dxa"/>
              <w:left w:w="120" w:type="dxa"/>
              <w:bottom w:w="100" w:type="dxa"/>
              <w:right w:w="120" w:type="dxa"/>
            </w:tcMar>
            <w:vAlign w:val="center"/>
          </w:tcPr>
          <w:p w14:paraId="64AE265A" w14:textId="77777777" w:rsidR="00D54D23" w:rsidRDefault="00000000">
            <w:r>
              <w:rPr>
                <w:color w:val="000000"/>
              </w:rPr>
              <w:lastRenderedPageBreak/>
              <w:t>TX</w:t>
            </w:r>
          </w:p>
        </w:tc>
        <w:tc>
          <w:tcPr>
            <w:tcW w:w="5000" w:type="pct"/>
            <w:shd w:val="clear" w:color="auto" w:fill="FFFFFF"/>
            <w:tcMar>
              <w:top w:w="100" w:type="dxa"/>
              <w:left w:w="120" w:type="dxa"/>
              <w:bottom w:w="100" w:type="dxa"/>
              <w:right w:w="120" w:type="dxa"/>
            </w:tcMar>
            <w:vAlign w:val="center"/>
          </w:tcPr>
          <w:p w14:paraId="08022ECE" w14:textId="77777777" w:rsidR="00D54D23" w:rsidRDefault="00000000">
            <w:r>
              <w:rPr>
                <w:color w:val="000000"/>
              </w:rPr>
              <w:t>Voluntary non-profit - Private</w:t>
            </w:r>
          </w:p>
        </w:tc>
        <w:tc>
          <w:tcPr>
            <w:tcW w:w="5000" w:type="pct"/>
            <w:shd w:val="clear" w:color="auto" w:fill="FFFFFF"/>
            <w:tcMar>
              <w:top w:w="100" w:type="dxa"/>
              <w:left w:w="120" w:type="dxa"/>
              <w:bottom w:w="100" w:type="dxa"/>
              <w:right w:w="120" w:type="dxa"/>
            </w:tcMar>
            <w:vAlign w:val="center"/>
          </w:tcPr>
          <w:p w14:paraId="56CA3BB9" w14:textId="77777777" w:rsidR="00D54D23" w:rsidRDefault="00000000">
            <w:r>
              <w:rPr>
                <w:color w:val="000000"/>
              </w:rPr>
              <w:t>2 stars</w:t>
            </w:r>
          </w:p>
        </w:tc>
        <w:tc>
          <w:tcPr>
            <w:tcW w:w="5000" w:type="pct"/>
            <w:shd w:val="clear" w:color="auto" w:fill="FFFFFF"/>
            <w:tcMar>
              <w:top w:w="100" w:type="dxa"/>
              <w:left w:w="120" w:type="dxa"/>
              <w:bottom w:w="100" w:type="dxa"/>
              <w:right w:w="120" w:type="dxa"/>
            </w:tcMar>
            <w:vAlign w:val="center"/>
          </w:tcPr>
          <w:p w14:paraId="27620C77" w14:textId="77777777" w:rsidR="00D54D23" w:rsidRDefault="00000000">
            <w:r>
              <w:rPr>
                <w:color w:val="000000"/>
              </w:rPr>
              <w:t>100 / 100</w:t>
            </w:r>
          </w:p>
        </w:tc>
      </w:tr>
    </w:tbl>
    <w:p w14:paraId="407A8319" w14:textId="77777777" w:rsidR="00D54D23" w:rsidRDefault="00000000">
      <w:pPr>
        <w:spacing w:before="60" w:after="240"/>
      </w:pPr>
      <w:r>
        <w:rPr>
          <w:i/>
          <w:iCs/>
          <w:color w:val="595959"/>
          <w:sz w:val="18"/>
          <w:szCs w:val="18"/>
        </w:rPr>
        <w:t>Table 1. Facilities exceeding the Composite Risk Penalty Index outlier threshold.</w:t>
      </w:r>
    </w:p>
    <w:p w14:paraId="37043205" w14:textId="77777777" w:rsidR="00D54D23" w:rsidRDefault="00000000">
      <w:pPr>
        <w:pStyle w:val="Heading2"/>
        <w:spacing w:before="220" w:after="120"/>
      </w:pPr>
      <w:r>
        <w:rPr>
          <w:b/>
          <w:bCs/>
          <w:color w:val="1F3864"/>
        </w:rPr>
        <w:t>3.1  Southport University Medical Center (CA) — Facility ID H100089</w:t>
      </w:r>
    </w:p>
    <w:p w14:paraId="36FFBEC9" w14:textId="77777777" w:rsidR="00D54D23" w:rsidRDefault="00000000">
      <w:pPr>
        <w:pStyle w:val="ListParagraph"/>
        <w:numPr>
          <w:ilvl w:val="0"/>
          <w:numId w:val="2"/>
        </w:numPr>
        <w:spacing w:after="100"/>
      </w:pPr>
      <w:r>
        <w:rPr>
          <w:sz w:val="22"/>
          <w:szCs w:val="22"/>
        </w:rPr>
        <w:t>State: California</w:t>
      </w:r>
    </w:p>
    <w:p w14:paraId="0C46FE1D" w14:textId="77777777" w:rsidR="00D54D23" w:rsidRDefault="00000000">
      <w:pPr>
        <w:pStyle w:val="ListParagraph"/>
        <w:numPr>
          <w:ilvl w:val="0"/>
          <w:numId w:val="2"/>
        </w:numPr>
        <w:spacing w:after="100"/>
      </w:pPr>
      <w:r>
        <w:rPr>
          <w:sz w:val="22"/>
          <w:szCs w:val="22"/>
        </w:rPr>
        <w:t>Ownership: Voluntary non-profit – Private</w:t>
      </w:r>
    </w:p>
    <w:p w14:paraId="1A8F50E4" w14:textId="77777777" w:rsidR="00D54D23" w:rsidRDefault="00000000">
      <w:pPr>
        <w:pStyle w:val="ListParagraph"/>
        <w:numPr>
          <w:ilvl w:val="0"/>
          <w:numId w:val="2"/>
        </w:numPr>
        <w:spacing w:after="100"/>
      </w:pPr>
      <w:r>
        <w:rPr>
          <w:sz w:val="22"/>
          <w:szCs w:val="22"/>
        </w:rPr>
        <w:t>CMS Overall Rating: 1 star (lowest CMS rating tier)</w:t>
      </w:r>
    </w:p>
    <w:p w14:paraId="071EF0B5" w14:textId="77777777" w:rsidR="00D54D23" w:rsidRDefault="00000000">
      <w:pPr>
        <w:pStyle w:val="ListParagraph"/>
        <w:numPr>
          <w:ilvl w:val="0"/>
          <w:numId w:val="2"/>
        </w:numPr>
        <w:spacing w:after="100"/>
      </w:pPr>
      <w:r>
        <w:rPr>
          <w:sz w:val="22"/>
          <w:szCs w:val="22"/>
        </w:rPr>
        <w:t>Composite Risk Penalty Index: 100 / 100 (maximum)</w:t>
      </w:r>
    </w:p>
    <w:p w14:paraId="4904F3DE" w14:textId="77777777" w:rsidR="00D54D23" w:rsidRDefault="00000000">
      <w:pPr>
        <w:pStyle w:val="Heading2"/>
        <w:spacing w:before="220" w:after="120"/>
      </w:pPr>
      <w:r>
        <w:rPr>
          <w:b/>
          <w:bCs/>
          <w:color w:val="1F3864"/>
        </w:rPr>
        <w:t>3.2  Westbrook Health System Hospital (TX) — Facility ID H100040</w:t>
      </w:r>
    </w:p>
    <w:p w14:paraId="5E0C7A9E" w14:textId="77777777" w:rsidR="00D54D23" w:rsidRDefault="00000000">
      <w:pPr>
        <w:pStyle w:val="ListParagraph"/>
        <w:numPr>
          <w:ilvl w:val="0"/>
          <w:numId w:val="2"/>
        </w:numPr>
        <w:spacing w:after="100"/>
      </w:pPr>
      <w:r>
        <w:rPr>
          <w:sz w:val="22"/>
          <w:szCs w:val="22"/>
        </w:rPr>
        <w:t>State: Texas</w:t>
      </w:r>
    </w:p>
    <w:p w14:paraId="1FC8D99D" w14:textId="77777777" w:rsidR="00D54D23" w:rsidRDefault="00000000">
      <w:pPr>
        <w:pStyle w:val="ListParagraph"/>
        <w:numPr>
          <w:ilvl w:val="0"/>
          <w:numId w:val="2"/>
        </w:numPr>
        <w:spacing w:after="100"/>
      </w:pPr>
      <w:r>
        <w:rPr>
          <w:sz w:val="22"/>
          <w:szCs w:val="22"/>
        </w:rPr>
        <w:t>Ownership: Voluntary non-profit – Private</w:t>
      </w:r>
    </w:p>
    <w:p w14:paraId="77512A2F" w14:textId="77777777" w:rsidR="00D54D23" w:rsidRDefault="00000000">
      <w:pPr>
        <w:pStyle w:val="ListParagraph"/>
        <w:numPr>
          <w:ilvl w:val="0"/>
          <w:numId w:val="2"/>
        </w:numPr>
        <w:spacing w:after="100"/>
      </w:pPr>
      <w:r>
        <w:rPr>
          <w:sz w:val="22"/>
          <w:szCs w:val="22"/>
        </w:rPr>
        <w:t>CMS Overall Rating: 2 stars</w:t>
      </w:r>
    </w:p>
    <w:p w14:paraId="7FCC3838" w14:textId="77777777" w:rsidR="00D54D23" w:rsidRDefault="00000000">
      <w:pPr>
        <w:pStyle w:val="ListParagraph"/>
        <w:numPr>
          <w:ilvl w:val="0"/>
          <w:numId w:val="2"/>
        </w:numPr>
        <w:spacing w:after="100"/>
      </w:pPr>
      <w:r>
        <w:rPr>
          <w:sz w:val="22"/>
          <w:szCs w:val="22"/>
        </w:rPr>
        <w:t>Composite Risk Penalty Index: 100 / 100 (maximum)</w:t>
      </w:r>
    </w:p>
    <w:p w14:paraId="5895B2F4" w14:textId="77777777" w:rsidR="00D54D23" w:rsidRDefault="00000000">
      <w:pPr>
        <w:pStyle w:val="Heading1"/>
        <w:spacing w:before="320" w:after="160"/>
      </w:pPr>
      <w:r>
        <w:rPr>
          <w:b/>
          <w:bCs/>
          <w:color w:val="1F3864"/>
        </w:rPr>
        <w:t>4. Observations</w:t>
      </w:r>
    </w:p>
    <w:p w14:paraId="01FF292A" w14:textId="77777777" w:rsidR="00D54D23" w:rsidRDefault="00000000">
      <w:pPr>
        <w:pStyle w:val="ListParagraph"/>
        <w:numPr>
          <w:ilvl w:val="0"/>
          <w:numId w:val="2"/>
        </w:numPr>
        <w:spacing w:after="100"/>
      </w:pPr>
      <w:r>
        <w:rPr>
          <w:sz w:val="22"/>
          <w:szCs w:val="22"/>
        </w:rPr>
        <w:t>Both flagged facilities scored the maximum possible CRPI (100), meaning essentially every reported safety and readmission measure was flagged worse than the national rate — this is the most severe risk signal the index can produce.</w:t>
      </w:r>
    </w:p>
    <w:p w14:paraId="4BE99A46" w14:textId="77777777" w:rsidR="00D54D23" w:rsidRDefault="00000000">
      <w:pPr>
        <w:pStyle w:val="ListParagraph"/>
        <w:numPr>
          <w:ilvl w:val="0"/>
          <w:numId w:val="2"/>
        </w:numPr>
        <w:spacing w:after="100"/>
      </w:pPr>
      <w:r>
        <w:rPr>
          <w:sz w:val="22"/>
          <w:szCs w:val="22"/>
        </w:rPr>
        <w:t>Both facilities share the same ownership category (Voluntary non-profit – Private) despite being in different states, which may warrant a closer look at whether this ownership segment is over-represented among high-risk facilities as more reporting periods are added.</w:t>
      </w:r>
    </w:p>
    <w:p w14:paraId="5BD048F8" w14:textId="77777777" w:rsidR="00D54D23" w:rsidRDefault="00000000">
      <w:pPr>
        <w:pStyle w:val="ListParagraph"/>
        <w:numPr>
          <w:ilvl w:val="0"/>
          <w:numId w:val="2"/>
        </w:numPr>
        <w:spacing w:after="100"/>
      </w:pPr>
      <w:r>
        <w:rPr>
          <w:sz w:val="22"/>
          <w:szCs w:val="22"/>
        </w:rPr>
        <w:t>With only 2 outliers identified, sample size is too small to draw a statistically defensible conclusion about ownership or geography — this should be treated as a hypothesis to monitor, not a finding to act on in isolation.</w:t>
      </w:r>
    </w:p>
    <w:p w14:paraId="608C2E41" w14:textId="77777777" w:rsidR="00D54D23" w:rsidRDefault="00000000">
      <w:pPr>
        <w:pStyle w:val="Heading1"/>
        <w:spacing w:before="320" w:after="160"/>
      </w:pPr>
      <w:r>
        <w:rPr>
          <w:b/>
          <w:bCs/>
          <w:color w:val="1F3864"/>
        </w:rPr>
        <w:t>5. Recommendations</w:t>
      </w:r>
    </w:p>
    <w:p w14:paraId="7CD75D7C" w14:textId="77777777" w:rsidR="00D54D23" w:rsidRDefault="00000000">
      <w:pPr>
        <w:pStyle w:val="ListParagraph"/>
        <w:numPr>
          <w:ilvl w:val="0"/>
          <w:numId w:val="2"/>
        </w:numPr>
        <w:spacing w:after="100"/>
      </w:pPr>
      <w:r>
        <w:rPr>
          <w:sz w:val="22"/>
          <w:szCs w:val="22"/>
        </w:rPr>
        <w:t>Prioritize both facilities for a quality-improvement / root-cause review, focused first on the specific safety and readmission measures driving the 100/100 score.</w:t>
      </w:r>
    </w:p>
    <w:p w14:paraId="6D2A5122" w14:textId="77777777" w:rsidR="00D54D23" w:rsidRDefault="00000000">
      <w:pPr>
        <w:pStyle w:val="ListParagraph"/>
        <w:numPr>
          <w:ilvl w:val="0"/>
          <w:numId w:val="2"/>
        </w:numPr>
        <w:spacing w:after="100"/>
      </w:pPr>
      <w:r>
        <w:rPr>
          <w:sz w:val="22"/>
          <w:szCs w:val="22"/>
        </w:rPr>
        <w:t>Re-run the outlier screen on the next reporting cycle to confirm whether these two facilities persist as outliers or whether this reflects a single-period anomaly.</w:t>
      </w:r>
    </w:p>
    <w:p w14:paraId="0B77858F" w14:textId="77777777" w:rsidR="00D54D23" w:rsidRDefault="00000000">
      <w:pPr>
        <w:pStyle w:val="ListParagraph"/>
        <w:numPr>
          <w:ilvl w:val="0"/>
          <w:numId w:val="2"/>
        </w:numPr>
        <w:spacing w:after="100"/>
      </w:pPr>
      <w:r>
        <w:rPr>
          <w:sz w:val="22"/>
          <w:szCs w:val="22"/>
        </w:rPr>
        <w:t>Expand the facility sample and re-test the ownership-category pattern noted above before using it to inform network or contracting decisions.</w:t>
      </w:r>
    </w:p>
    <w:p w14:paraId="034B6A56" w14:textId="77777777" w:rsidR="00D54D23" w:rsidRDefault="00000000">
      <w:pPr>
        <w:pStyle w:val="ListParagraph"/>
        <w:numPr>
          <w:ilvl w:val="0"/>
          <w:numId w:val="2"/>
        </w:numPr>
        <w:spacing w:after="100"/>
      </w:pPr>
      <w:r>
        <w:rPr>
          <w:sz w:val="22"/>
          <w:szCs w:val="22"/>
        </w:rPr>
        <w:t>Feed both flagged facilities into the Power BI / Tableau executive dashboard (see BI_DASHBOARD_SPEC.md) so they surface automatically in the Critical risk band on future refreshes.</w:t>
      </w:r>
    </w:p>
    <w:p w14:paraId="7F3B1F3C" w14:textId="7FAC88B6" w:rsidR="00D54D23" w:rsidRDefault="00D54D23">
      <w:pPr>
        <w:pBdr>
          <w:top w:val="single" w:sz="4" w:space="8" w:color="BFBFBF"/>
        </w:pBdr>
        <w:spacing w:before="300"/>
      </w:pPr>
    </w:p>
    <w:sectPr w:rsidR="00D54D2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0CA4" w14:textId="77777777" w:rsidR="005A12D8" w:rsidRDefault="005A12D8">
      <w:r>
        <w:separator/>
      </w:r>
    </w:p>
  </w:endnote>
  <w:endnote w:type="continuationSeparator" w:id="0">
    <w:p w14:paraId="7AF2D66F" w14:textId="77777777" w:rsidR="005A12D8" w:rsidRDefault="005A1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C09C" w14:textId="77777777" w:rsidR="00D54D2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E75F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E75F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E00E" w14:textId="77777777" w:rsidR="005A12D8" w:rsidRDefault="005A12D8">
      <w:r>
        <w:separator/>
      </w:r>
    </w:p>
  </w:footnote>
  <w:footnote w:type="continuationSeparator" w:id="0">
    <w:p w14:paraId="7C19008F" w14:textId="77777777" w:rsidR="005A12D8" w:rsidRDefault="005A1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E9C5" w14:textId="77777777" w:rsidR="00D54D23" w:rsidRDefault="00000000">
    <w:pPr>
      <w:pBdr>
        <w:bottom w:val="single" w:sz="4" w:space="4" w:color="BFBFBF"/>
      </w:pBdr>
      <w:jc w:val="right"/>
    </w:pPr>
    <w:r>
      <w:rPr>
        <w:color w:val="595959"/>
        <w:sz w:val="16"/>
        <w:szCs w:val="16"/>
      </w:rPr>
      <w:t>HospSafe-Analytics  |  Patient Safety Outlier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3568"/>
    <w:multiLevelType w:val="hybridMultilevel"/>
    <w:tmpl w:val="159C5584"/>
    <w:lvl w:ilvl="0" w:tplc="115C3F18">
      <w:start w:val="1"/>
      <w:numFmt w:val="bullet"/>
      <w:lvlText w:val="•"/>
      <w:lvlJc w:val="left"/>
      <w:pPr>
        <w:ind w:left="420" w:hanging="260"/>
      </w:pPr>
    </w:lvl>
    <w:lvl w:ilvl="1" w:tplc="C5DCFFEE">
      <w:numFmt w:val="decimal"/>
      <w:lvlText w:val=""/>
      <w:lvlJc w:val="left"/>
    </w:lvl>
    <w:lvl w:ilvl="2" w:tplc="F4B0B69C">
      <w:numFmt w:val="decimal"/>
      <w:lvlText w:val=""/>
      <w:lvlJc w:val="left"/>
    </w:lvl>
    <w:lvl w:ilvl="3" w:tplc="33407C72">
      <w:numFmt w:val="decimal"/>
      <w:lvlText w:val=""/>
      <w:lvlJc w:val="left"/>
    </w:lvl>
    <w:lvl w:ilvl="4" w:tplc="96A00EE6">
      <w:numFmt w:val="decimal"/>
      <w:lvlText w:val=""/>
      <w:lvlJc w:val="left"/>
    </w:lvl>
    <w:lvl w:ilvl="5" w:tplc="04B607E0">
      <w:numFmt w:val="decimal"/>
      <w:lvlText w:val=""/>
      <w:lvlJc w:val="left"/>
    </w:lvl>
    <w:lvl w:ilvl="6" w:tplc="765AD34E">
      <w:numFmt w:val="decimal"/>
      <w:lvlText w:val=""/>
      <w:lvlJc w:val="left"/>
    </w:lvl>
    <w:lvl w:ilvl="7" w:tplc="D53E2D90">
      <w:numFmt w:val="decimal"/>
      <w:lvlText w:val=""/>
      <w:lvlJc w:val="left"/>
    </w:lvl>
    <w:lvl w:ilvl="8" w:tplc="7C24EF78">
      <w:numFmt w:val="decimal"/>
      <w:lvlText w:val=""/>
      <w:lvlJc w:val="left"/>
    </w:lvl>
  </w:abstractNum>
  <w:abstractNum w:abstractNumId="1" w15:restartNumberingAfterBreak="0">
    <w:nsid w:val="199A53C4"/>
    <w:multiLevelType w:val="hybridMultilevel"/>
    <w:tmpl w:val="E826BBA6"/>
    <w:lvl w:ilvl="0" w:tplc="86B0A032">
      <w:start w:val="1"/>
      <w:numFmt w:val="bullet"/>
      <w:lvlText w:val="●"/>
      <w:lvlJc w:val="left"/>
      <w:pPr>
        <w:ind w:left="720" w:hanging="360"/>
      </w:pPr>
    </w:lvl>
    <w:lvl w:ilvl="1" w:tplc="35A2F42A">
      <w:start w:val="1"/>
      <w:numFmt w:val="bullet"/>
      <w:lvlText w:val="○"/>
      <w:lvlJc w:val="left"/>
      <w:pPr>
        <w:ind w:left="1440" w:hanging="360"/>
      </w:pPr>
    </w:lvl>
    <w:lvl w:ilvl="2" w:tplc="9D509128">
      <w:start w:val="1"/>
      <w:numFmt w:val="bullet"/>
      <w:lvlText w:val="■"/>
      <w:lvlJc w:val="left"/>
      <w:pPr>
        <w:ind w:left="2160" w:hanging="360"/>
      </w:pPr>
    </w:lvl>
    <w:lvl w:ilvl="3" w:tplc="1CA2DD4E">
      <w:start w:val="1"/>
      <w:numFmt w:val="bullet"/>
      <w:lvlText w:val="●"/>
      <w:lvlJc w:val="left"/>
      <w:pPr>
        <w:ind w:left="2880" w:hanging="360"/>
      </w:pPr>
    </w:lvl>
    <w:lvl w:ilvl="4" w:tplc="BCDCB662">
      <w:start w:val="1"/>
      <w:numFmt w:val="bullet"/>
      <w:lvlText w:val="○"/>
      <w:lvlJc w:val="left"/>
      <w:pPr>
        <w:ind w:left="3600" w:hanging="360"/>
      </w:pPr>
    </w:lvl>
    <w:lvl w:ilvl="5" w:tplc="5CE891D4">
      <w:start w:val="1"/>
      <w:numFmt w:val="bullet"/>
      <w:lvlText w:val="■"/>
      <w:lvlJc w:val="left"/>
      <w:pPr>
        <w:ind w:left="4320" w:hanging="360"/>
      </w:pPr>
    </w:lvl>
    <w:lvl w:ilvl="6" w:tplc="E902A5E0">
      <w:start w:val="1"/>
      <w:numFmt w:val="bullet"/>
      <w:lvlText w:val="●"/>
      <w:lvlJc w:val="left"/>
      <w:pPr>
        <w:ind w:left="5040" w:hanging="360"/>
      </w:pPr>
    </w:lvl>
    <w:lvl w:ilvl="7" w:tplc="07E641B6">
      <w:start w:val="1"/>
      <w:numFmt w:val="bullet"/>
      <w:lvlText w:val="●"/>
      <w:lvlJc w:val="left"/>
      <w:pPr>
        <w:ind w:left="5760" w:hanging="360"/>
      </w:pPr>
    </w:lvl>
    <w:lvl w:ilvl="8" w:tplc="61627DAC">
      <w:start w:val="1"/>
      <w:numFmt w:val="bullet"/>
      <w:lvlText w:val="●"/>
      <w:lvlJc w:val="left"/>
      <w:pPr>
        <w:ind w:left="6480" w:hanging="360"/>
      </w:pPr>
    </w:lvl>
  </w:abstractNum>
  <w:num w:numId="1" w16cid:durableId="722481042">
    <w:abstractNumId w:val="1"/>
    <w:lvlOverride w:ilvl="0">
      <w:startOverride w:val="1"/>
    </w:lvlOverride>
  </w:num>
  <w:num w:numId="2" w16cid:durableId="1136878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23"/>
    <w:rsid w:val="00561DE7"/>
    <w:rsid w:val="005A12D8"/>
    <w:rsid w:val="00CE75F8"/>
    <w:rsid w:val="00D5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53DD"/>
  <w15:docId w15:val="{FAA6CDA0-D950-4021-B3ED-F1CB27C1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Nithya S</cp:lastModifiedBy>
  <cp:revision>2</cp:revision>
  <dcterms:created xsi:type="dcterms:W3CDTF">2026-07-20T14:35:00Z</dcterms:created>
  <dcterms:modified xsi:type="dcterms:W3CDTF">2015-03-15T14:42:00Z</dcterms:modified>
</cp:coreProperties>
</file>