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9F86" w14:textId="77777777" w:rsidR="00FC39D9" w:rsidRDefault="00FC39D9">
      <w:pPr>
        <w:spacing w:after="1400"/>
      </w:pPr>
    </w:p>
    <w:p w14:paraId="6127B171" w14:textId="77777777" w:rsidR="00FC39D9" w:rsidRDefault="00000000">
      <w:pPr>
        <w:jc w:val="center"/>
      </w:pPr>
      <w:r>
        <w:rPr>
          <w:rFonts w:ascii="Aptos Display" w:eastAsia="Aptos Display" w:hAnsi="Aptos Display" w:cs="Aptos Display"/>
          <w:b/>
          <w:bCs/>
          <w:color w:val="44546A"/>
          <w:spacing w:val="20"/>
          <w:sz w:val="24"/>
          <w:szCs w:val="24"/>
        </w:rPr>
        <w:t>CLINICAL TRIAL OPERATIONS</w:t>
      </w:r>
    </w:p>
    <w:p w14:paraId="4ACF2D1E" w14:textId="77777777" w:rsidR="00FC39D9" w:rsidRDefault="00FC39D9">
      <w:pPr>
        <w:spacing w:after="100"/>
      </w:pPr>
    </w:p>
    <w:p w14:paraId="0902B56A" w14:textId="77777777" w:rsidR="00FC39D9" w:rsidRDefault="00000000">
      <w:pPr>
        <w:jc w:val="center"/>
      </w:pPr>
      <w:r>
        <w:rPr>
          <w:rFonts w:ascii="Aptos Display" w:eastAsia="Aptos Display" w:hAnsi="Aptos Display" w:cs="Aptos Display"/>
          <w:b/>
          <w:bCs/>
          <w:color w:val="1F2937"/>
          <w:sz w:val="56"/>
          <w:szCs w:val="56"/>
        </w:rPr>
        <w:t>TRAINING WORKBOOK</w:t>
      </w:r>
    </w:p>
    <w:p w14:paraId="47F64AFF" w14:textId="77777777" w:rsidR="00FC39D9" w:rsidRDefault="00FC39D9">
      <w:pPr>
        <w:spacing w:after="200"/>
      </w:pPr>
    </w:p>
    <w:p w14:paraId="4EA7E7E9" w14:textId="77777777" w:rsidR="00FC39D9" w:rsidRDefault="00000000">
      <w:pPr>
        <w:jc w:val="center"/>
      </w:pPr>
      <w:r>
        <w:rPr>
          <w:i/>
          <w:iCs/>
          <w:color w:val="44546A"/>
          <w:sz w:val="26"/>
          <w:szCs w:val="26"/>
        </w:rPr>
        <w:t>An Operational Walkthrough of a Phase 3b Clinical Trial</w:t>
      </w:r>
    </w:p>
    <w:p w14:paraId="1A78B63B" w14:textId="77777777" w:rsidR="00FC39D9" w:rsidRDefault="00FC39D9">
      <w:pPr>
        <w:spacing w:after="60"/>
      </w:pPr>
    </w:p>
    <w:p w14:paraId="23F3AE15" w14:textId="77777777" w:rsidR="00FC39D9" w:rsidRDefault="00000000">
      <w:pPr>
        <w:jc w:val="center"/>
      </w:pPr>
      <w:r>
        <w:rPr>
          <w:color w:val="595959"/>
          <w:sz w:val="22"/>
          <w:szCs w:val="22"/>
        </w:rPr>
        <w:t>Based on the INITIATE-PAH Protocol (CTP-PAH-001)</w:t>
      </w:r>
    </w:p>
    <w:p w14:paraId="566A1B64" w14:textId="77777777" w:rsidR="00FC39D9" w:rsidRDefault="00FC39D9">
      <w:pPr>
        <w:spacing w:after="900"/>
      </w:pPr>
    </w:p>
    <w:p w14:paraId="3FA9BB45" w14:textId="77777777" w:rsidR="00FC39D9" w:rsidRDefault="00FC39D9">
      <w:pPr>
        <w:pBdr>
          <w:top w:val="single" w:sz="6" w:space="8" w:color="A6A6A6"/>
        </w:pBdr>
        <w:jc w:val="center"/>
      </w:pPr>
    </w:p>
    <w:p w14:paraId="6D822E24" w14:textId="77777777" w:rsidR="00FC39D9" w:rsidRDefault="00FC39D9">
      <w:pPr>
        <w:spacing w:after="120"/>
      </w:pPr>
    </w:p>
    <w:p w14:paraId="36310062" w14:textId="77777777" w:rsidR="00FC39D9" w:rsidRDefault="00000000">
      <w:pPr>
        <w:jc w:val="center"/>
      </w:pPr>
      <w:r>
        <w:rPr>
          <w:sz w:val="20"/>
          <w:szCs w:val="20"/>
        </w:rPr>
        <w:t>Prepared for: Clinical Trial Assistants, Clinical Trial Coordinators,</w:t>
      </w:r>
    </w:p>
    <w:p w14:paraId="10E87942" w14:textId="77777777" w:rsidR="00FC39D9" w:rsidRDefault="00000000">
      <w:pPr>
        <w:jc w:val="center"/>
      </w:pPr>
      <w:r>
        <w:rPr>
          <w:sz w:val="20"/>
          <w:szCs w:val="20"/>
        </w:rPr>
        <w:t>Clinical Trial Associates, Clinical Operations Associates and Site Management Associates</w:t>
      </w:r>
    </w:p>
    <w:p w14:paraId="21D78703" w14:textId="642641EB" w:rsidR="00FC39D9" w:rsidRDefault="00FC39D9" w:rsidP="00F50147">
      <w:pPr>
        <w:jc w:val="center"/>
      </w:pPr>
    </w:p>
    <w:p w14:paraId="2D27A829" w14:textId="046EDE70" w:rsidR="00FC39D9" w:rsidRDefault="00000000">
      <w:r>
        <w:br w:type="page"/>
      </w:r>
    </w:p>
    <w:p w14:paraId="656B023C" w14:textId="77777777" w:rsidR="00FC39D9" w:rsidRDefault="00000000">
      <w:pPr>
        <w:pStyle w:val="Heading1"/>
      </w:pPr>
      <w:r>
        <w:lastRenderedPageBreak/>
        <w:t>1. Executive Summary</w:t>
      </w:r>
    </w:p>
    <w:p w14:paraId="5541B3BA" w14:textId="77777777" w:rsidR="00FC39D9" w:rsidRDefault="00000000">
      <w:pPr>
        <w:spacing w:after="160" w:line="276" w:lineRule="auto"/>
      </w:pPr>
      <w:r>
        <w:t>This workbook was built as a training tool for people joining a clinical operations team, whether at a CRO or at a sponsor company. Rather than teaching Good Clinical Practice (GCP) as a list of abstract rules, it walks through a single, realistic Phase 3b trial from the moment a site is considered for the study through to database lock and archiving. The trial used throughout is INITIATE-PAH (protocol CTP-PAH-001), a mock protocol built for training purposes, comparing an initial triple oral therapy against an initial dual oral therapy in adults newly diagnosed with pulmonary arterial hypertension (PAH).</w:t>
      </w:r>
    </w:p>
    <w:p w14:paraId="5498D10B" w14:textId="77777777" w:rsidR="00FC39D9" w:rsidRDefault="00000000">
      <w:pPr>
        <w:spacing w:after="160" w:line="276" w:lineRule="auto"/>
      </w:pPr>
      <w:r>
        <w:t>The intent is practical. A new Clinical Trial Assistant (CTA) or Clinical Trial Coordinator (CTC) rarely learns operations from the protocol text itself — protocols are written for regulators and investigators, not for the person who has to build the source documents, track IP accountability, or chase a missing signature on a delegation log. This workbook translates the protocol into the operational language that a coordinator, associate, or site management associate actually works in day to day.</w:t>
      </w:r>
    </w:p>
    <w:p w14:paraId="0598711C" w14:textId="77777777" w:rsidR="00FC39D9" w:rsidRDefault="00000000">
      <w:pPr>
        <w:spacing w:after="160" w:line="276" w:lineRule="auto"/>
      </w:pPr>
      <w:r>
        <w:t>Each chapter maps to a stage of the trial lifecycle: feasibility, start-up, patient journey, visit conduct, pharmacy and laboratory operations, vendor oversight, data management, monitoring, and close-out. Templates are included in the appendix so that trainees can see, in a concrete way, what a site readiness checklist, a delegation log, or a screening log actually looks like in practice.</w:t>
      </w:r>
    </w:p>
    <w:p w14:paraId="4437F80B" w14:textId="77777777" w:rsidR="00FC39D9" w:rsidRDefault="00000000">
      <w:pPr>
        <w:spacing w:after="160" w:line="276" w:lineRule="auto"/>
      </w:pPr>
      <w:r>
        <w:t>A note on scope: this workbook does not interpret or predict clinical outcomes. INITIATE-PAH is a training protocol only, and no efficacy or safety conclusions should be drawn from it. The focus throughout is entirely operational — how the trial is run, not what it will show.</w:t>
      </w:r>
    </w:p>
    <w:p w14:paraId="323392AB" w14:textId="77777777" w:rsidR="00FC39D9" w:rsidRDefault="00000000">
      <w:pPr>
        <w:pStyle w:val="Heading1"/>
      </w:pPr>
      <w:r>
        <w:t>2. Study Synopsis</w:t>
      </w:r>
    </w:p>
    <w:p w14:paraId="7F8E6755" w14:textId="77777777" w:rsidR="00FC39D9" w:rsidRDefault="00000000">
      <w:pPr>
        <w:spacing w:after="160" w:line="276" w:lineRule="auto"/>
      </w:pPr>
      <w:r>
        <w:t>Before touching any operational plan, every new team member should be able to describe the study in plain language in under two minutes. If you cannot do that, you are not ready to build source documents, train site staff, or answer a monitor's question. The table below summarizes INITIATE-PAH the way it would typically be presented in a site initiation visit (SIV) slide deck, stripped of the regulatory phrasing found in the protocol itself.</w:t>
      </w:r>
    </w:p>
    <w:tbl>
      <w:tblPr>
        <w:tblW w:w="9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2600"/>
        <w:gridCol w:w="6900"/>
      </w:tblGrid>
      <w:tr w:rsidR="00FC39D9" w14:paraId="0AF051F4" w14:textId="77777777">
        <w:tblPrEx>
          <w:tblCellMar>
            <w:top w:w="0" w:type="dxa"/>
            <w:bottom w:w="0" w:type="dxa"/>
          </w:tblCellMar>
        </w:tblPrEx>
        <w:trPr>
          <w:tblHeader/>
        </w:trPr>
        <w:tc>
          <w:tcPr>
            <w:tcW w:w="2600" w:type="dxa"/>
            <w:shd w:val="clear" w:color="auto" w:fill="44546A"/>
            <w:tcMar>
              <w:top w:w="80" w:type="dxa"/>
              <w:left w:w="100" w:type="dxa"/>
              <w:bottom w:w="80" w:type="dxa"/>
              <w:right w:w="100" w:type="dxa"/>
            </w:tcMar>
            <w:vAlign w:val="center"/>
          </w:tcPr>
          <w:p w14:paraId="151F3772" w14:textId="77777777" w:rsidR="00FC39D9" w:rsidRDefault="00000000">
            <w:r>
              <w:rPr>
                <w:b/>
                <w:bCs/>
                <w:color w:val="FFFFFF"/>
                <w:sz w:val="19"/>
                <w:szCs w:val="19"/>
              </w:rPr>
              <w:t>Element</w:t>
            </w:r>
          </w:p>
        </w:tc>
        <w:tc>
          <w:tcPr>
            <w:tcW w:w="6900" w:type="dxa"/>
            <w:shd w:val="clear" w:color="auto" w:fill="44546A"/>
            <w:tcMar>
              <w:top w:w="80" w:type="dxa"/>
              <w:left w:w="100" w:type="dxa"/>
              <w:bottom w:w="80" w:type="dxa"/>
              <w:right w:w="100" w:type="dxa"/>
            </w:tcMar>
            <w:vAlign w:val="center"/>
          </w:tcPr>
          <w:p w14:paraId="699EC4C9" w14:textId="77777777" w:rsidR="00FC39D9" w:rsidRDefault="00000000">
            <w:r>
              <w:rPr>
                <w:b/>
                <w:bCs/>
                <w:color w:val="FFFFFF"/>
                <w:sz w:val="19"/>
                <w:szCs w:val="19"/>
              </w:rPr>
              <w:t>Summary</w:t>
            </w:r>
          </w:p>
        </w:tc>
      </w:tr>
      <w:tr w:rsidR="00FC39D9" w14:paraId="59CD104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084A594" w14:textId="77777777" w:rsidR="00FC39D9" w:rsidRDefault="00000000">
            <w:r>
              <w:rPr>
                <w:sz w:val="19"/>
                <w:szCs w:val="19"/>
              </w:rPr>
              <w:t>Protocol</w:t>
            </w:r>
          </w:p>
        </w:tc>
        <w:tc>
          <w:tcPr>
            <w:tcW w:w="6900" w:type="dxa"/>
            <w:shd w:val="clear" w:color="auto" w:fill="FFFFFF"/>
            <w:tcMar>
              <w:top w:w="80" w:type="dxa"/>
              <w:left w:w="100" w:type="dxa"/>
              <w:bottom w:w="80" w:type="dxa"/>
              <w:right w:w="100" w:type="dxa"/>
            </w:tcMar>
            <w:vAlign w:val="center"/>
          </w:tcPr>
          <w:p w14:paraId="3BD0F17D" w14:textId="77777777" w:rsidR="00FC39D9" w:rsidRDefault="00000000">
            <w:r>
              <w:rPr>
                <w:sz w:val="19"/>
                <w:szCs w:val="19"/>
              </w:rPr>
              <w:t>INITIATE-PAH, CTP-PAH-001, Version 2.0 (Amendment 1)</w:t>
            </w:r>
          </w:p>
        </w:tc>
      </w:tr>
      <w:tr w:rsidR="00FC39D9" w14:paraId="7D25B62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AF5E1F6" w14:textId="77777777" w:rsidR="00FC39D9" w:rsidRDefault="00000000">
            <w:r>
              <w:rPr>
                <w:sz w:val="19"/>
                <w:szCs w:val="19"/>
              </w:rPr>
              <w:t>Phase</w:t>
            </w:r>
          </w:p>
        </w:tc>
        <w:tc>
          <w:tcPr>
            <w:tcW w:w="6900" w:type="dxa"/>
            <w:shd w:val="clear" w:color="auto" w:fill="F2F2F2"/>
            <w:tcMar>
              <w:top w:w="80" w:type="dxa"/>
              <w:left w:w="100" w:type="dxa"/>
              <w:bottom w:w="80" w:type="dxa"/>
              <w:right w:w="100" w:type="dxa"/>
            </w:tcMar>
            <w:vAlign w:val="center"/>
          </w:tcPr>
          <w:p w14:paraId="35EA6B5E" w14:textId="77777777" w:rsidR="00FC39D9" w:rsidRDefault="00000000">
            <w:r>
              <w:rPr>
                <w:sz w:val="19"/>
                <w:szCs w:val="19"/>
              </w:rPr>
              <w:t>Phase 3b</w:t>
            </w:r>
          </w:p>
        </w:tc>
      </w:tr>
      <w:tr w:rsidR="00FC39D9" w14:paraId="047E1B4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CB1C64" w14:textId="77777777" w:rsidR="00FC39D9" w:rsidRDefault="00000000">
            <w:r>
              <w:rPr>
                <w:sz w:val="19"/>
                <w:szCs w:val="19"/>
              </w:rPr>
              <w:t>Design</w:t>
            </w:r>
          </w:p>
        </w:tc>
        <w:tc>
          <w:tcPr>
            <w:tcW w:w="6900" w:type="dxa"/>
            <w:shd w:val="clear" w:color="auto" w:fill="FFFFFF"/>
            <w:tcMar>
              <w:top w:w="80" w:type="dxa"/>
              <w:left w:w="100" w:type="dxa"/>
              <w:bottom w:w="80" w:type="dxa"/>
              <w:right w:w="100" w:type="dxa"/>
            </w:tcMar>
            <w:vAlign w:val="center"/>
          </w:tcPr>
          <w:p w14:paraId="4D0CF0C9" w14:textId="77777777" w:rsidR="00FC39D9" w:rsidRDefault="00000000">
            <w:proofErr w:type="spellStart"/>
            <w:r>
              <w:rPr>
                <w:sz w:val="19"/>
                <w:szCs w:val="19"/>
              </w:rPr>
              <w:t>Multicenter</w:t>
            </w:r>
            <w:proofErr w:type="spellEnd"/>
            <w:r>
              <w:rPr>
                <w:sz w:val="19"/>
                <w:szCs w:val="19"/>
              </w:rPr>
              <w:t>, double-blind, randomized 1:1, placebo-controlled, parallel-group</w:t>
            </w:r>
          </w:p>
        </w:tc>
      </w:tr>
      <w:tr w:rsidR="00FC39D9" w14:paraId="24EF333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4EA0900" w14:textId="77777777" w:rsidR="00FC39D9" w:rsidRDefault="00000000">
            <w:r>
              <w:rPr>
                <w:sz w:val="19"/>
                <w:szCs w:val="19"/>
              </w:rPr>
              <w:t>Population</w:t>
            </w:r>
          </w:p>
        </w:tc>
        <w:tc>
          <w:tcPr>
            <w:tcW w:w="6900" w:type="dxa"/>
            <w:shd w:val="clear" w:color="auto" w:fill="F2F2F2"/>
            <w:tcMar>
              <w:top w:w="80" w:type="dxa"/>
              <w:left w:w="100" w:type="dxa"/>
              <w:bottom w:w="80" w:type="dxa"/>
              <w:right w:w="100" w:type="dxa"/>
            </w:tcMar>
            <w:vAlign w:val="center"/>
          </w:tcPr>
          <w:p w14:paraId="51682F66" w14:textId="77777777" w:rsidR="00FC39D9" w:rsidRDefault="00000000">
            <w:r>
              <w:rPr>
                <w:sz w:val="19"/>
                <w:szCs w:val="19"/>
              </w:rPr>
              <w:t>Adults 18–75 years, newly diagnosed (under 6 months), treatment-naïve WHO Group 1 PAH, confirmed by right heart catheterization (RHC)</w:t>
            </w:r>
          </w:p>
        </w:tc>
      </w:tr>
      <w:tr w:rsidR="00FC39D9" w14:paraId="21F7E9C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78BE886" w14:textId="77777777" w:rsidR="00FC39D9" w:rsidRDefault="00000000">
            <w:r>
              <w:rPr>
                <w:sz w:val="19"/>
                <w:szCs w:val="19"/>
              </w:rPr>
              <w:t>Arms</w:t>
            </w:r>
          </w:p>
        </w:tc>
        <w:tc>
          <w:tcPr>
            <w:tcW w:w="6900" w:type="dxa"/>
            <w:shd w:val="clear" w:color="auto" w:fill="FFFFFF"/>
            <w:tcMar>
              <w:top w:w="80" w:type="dxa"/>
              <w:left w:w="100" w:type="dxa"/>
              <w:bottom w:w="80" w:type="dxa"/>
              <w:right w:w="100" w:type="dxa"/>
            </w:tcMar>
            <w:vAlign w:val="center"/>
          </w:tcPr>
          <w:p w14:paraId="1D640A9D" w14:textId="77777777" w:rsidR="00FC39D9" w:rsidRDefault="00000000">
            <w:r>
              <w:rPr>
                <w:sz w:val="19"/>
                <w:szCs w:val="19"/>
              </w:rPr>
              <w:t>Arm A: triple oral therapy (ERA-01 + PDE5i-01 + IPRA-01). Arm B: dual oral therapy (ERA-01 + PDE5i-01 + placebo)</w:t>
            </w:r>
          </w:p>
        </w:tc>
      </w:tr>
      <w:tr w:rsidR="00FC39D9" w14:paraId="5007560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ED0285F" w14:textId="77777777" w:rsidR="00FC39D9" w:rsidRDefault="00000000">
            <w:r>
              <w:rPr>
                <w:sz w:val="19"/>
                <w:szCs w:val="19"/>
              </w:rPr>
              <w:t>Sample size</w:t>
            </w:r>
          </w:p>
        </w:tc>
        <w:tc>
          <w:tcPr>
            <w:tcW w:w="6900" w:type="dxa"/>
            <w:shd w:val="clear" w:color="auto" w:fill="F2F2F2"/>
            <w:tcMar>
              <w:top w:w="80" w:type="dxa"/>
              <w:left w:w="100" w:type="dxa"/>
              <w:bottom w:w="80" w:type="dxa"/>
              <w:right w:w="100" w:type="dxa"/>
            </w:tcMar>
            <w:vAlign w:val="center"/>
          </w:tcPr>
          <w:p w14:paraId="52A99D60" w14:textId="77777777" w:rsidR="00FC39D9" w:rsidRDefault="00000000">
            <w:r>
              <w:rPr>
                <w:sz w:val="19"/>
                <w:szCs w:val="19"/>
              </w:rPr>
              <w:t>Approximately 240 participants, about 120 per arm</w:t>
            </w:r>
          </w:p>
        </w:tc>
      </w:tr>
      <w:tr w:rsidR="00FC39D9" w14:paraId="6D99DC6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47CF2F6" w14:textId="77777777" w:rsidR="00FC39D9" w:rsidRDefault="00000000">
            <w:r>
              <w:rPr>
                <w:sz w:val="19"/>
                <w:szCs w:val="19"/>
              </w:rPr>
              <w:t>Sites / countries</w:t>
            </w:r>
          </w:p>
        </w:tc>
        <w:tc>
          <w:tcPr>
            <w:tcW w:w="6900" w:type="dxa"/>
            <w:shd w:val="clear" w:color="auto" w:fill="FFFFFF"/>
            <w:tcMar>
              <w:top w:w="80" w:type="dxa"/>
              <w:left w:w="100" w:type="dxa"/>
              <w:bottom w:w="80" w:type="dxa"/>
              <w:right w:w="100" w:type="dxa"/>
            </w:tcMar>
            <w:vAlign w:val="center"/>
          </w:tcPr>
          <w:p w14:paraId="088190BA" w14:textId="77777777" w:rsidR="00FC39D9" w:rsidRDefault="00000000">
            <w:r>
              <w:rPr>
                <w:sz w:val="19"/>
                <w:szCs w:val="19"/>
              </w:rPr>
              <w:t>Approximately 80–90 sites across roughly 20 countries</w:t>
            </w:r>
          </w:p>
        </w:tc>
      </w:tr>
      <w:tr w:rsidR="00FC39D9" w14:paraId="40EF08A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A8408B" w14:textId="77777777" w:rsidR="00FC39D9" w:rsidRDefault="00000000">
            <w:r>
              <w:rPr>
                <w:sz w:val="19"/>
                <w:szCs w:val="19"/>
              </w:rPr>
              <w:lastRenderedPageBreak/>
              <w:t>Primary endpoint</w:t>
            </w:r>
          </w:p>
        </w:tc>
        <w:tc>
          <w:tcPr>
            <w:tcW w:w="6900" w:type="dxa"/>
            <w:shd w:val="clear" w:color="auto" w:fill="F2F2F2"/>
            <w:tcMar>
              <w:top w:w="80" w:type="dxa"/>
              <w:left w:w="100" w:type="dxa"/>
              <w:bottom w:w="80" w:type="dxa"/>
              <w:right w:w="100" w:type="dxa"/>
            </w:tcMar>
            <w:vAlign w:val="center"/>
          </w:tcPr>
          <w:p w14:paraId="4BC0DD1A" w14:textId="77777777" w:rsidR="00FC39D9" w:rsidRDefault="00000000">
            <w:r>
              <w:rPr>
                <w:sz w:val="19"/>
                <w:szCs w:val="19"/>
              </w:rPr>
              <w:t>Change in pulmonary vascular resistance (PVR) from baseline to Week 26, measured by RHC</w:t>
            </w:r>
          </w:p>
        </w:tc>
      </w:tr>
      <w:tr w:rsidR="00FC39D9" w14:paraId="29F9FE0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D2C098C" w14:textId="77777777" w:rsidR="00FC39D9" w:rsidRDefault="00000000">
            <w:r>
              <w:rPr>
                <w:sz w:val="19"/>
                <w:szCs w:val="19"/>
              </w:rPr>
              <w:t>Core visit window</w:t>
            </w:r>
          </w:p>
        </w:tc>
        <w:tc>
          <w:tcPr>
            <w:tcW w:w="6900" w:type="dxa"/>
            <w:shd w:val="clear" w:color="auto" w:fill="FFFFFF"/>
            <w:tcMar>
              <w:top w:w="80" w:type="dxa"/>
              <w:left w:w="100" w:type="dxa"/>
              <w:bottom w:w="80" w:type="dxa"/>
              <w:right w:w="100" w:type="dxa"/>
            </w:tcMar>
            <w:vAlign w:val="center"/>
          </w:tcPr>
          <w:p w14:paraId="0D7704A6" w14:textId="77777777" w:rsidR="00FC39D9" w:rsidRDefault="00000000">
            <w:r>
              <w:rPr>
                <w:sz w:val="19"/>
                <w:szCs w:val="19"/>
              </w:rPr>
              <w:t>Screening (up to 28 days) through Week 26, plus a 30-day safety follow-up; optional extension visits every 6 months</w:t>
            </w:r>
          </w:p>
        </w:tc>
      </w:tr>
      <w:tr w:rsidR="00FC39D9" w14:paraId="1B3AE83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693A623" w14:textId="77777777" w:rsidR="00FC39D9" w:rsidRDefault="00000000">
            <w:r>
              <w:rPr>
                <w:sz w:val="19"/>
                <w:szCs w:val="19"/>
              </w:rPr>
              <w:t>Key oversight body</w:t>
            </w:r>
          </w:p>
        </w:tc>
        <w:tc>
          <w:tcPr>
            <w:tcW w:w="6900" w:type="dxa"/>
            <w:shd w:val="clear" w:color="auto" w:fill="F2F2F2"/>
            <w:tcMar>
              <w:top w:w="80" w:type="dxa"/>
              <w:left w:w="100" w:type="dxa"/>
              <w:bottom w:w="80" w:type="dxa"/>
              <w:right w:w="100" w:type="dxa"/>
            </w:tcMar>
            <w:vAlign w:val="center"/>
          </w:tcPr>
          <w:p w14:paraId="19598B1F" w14:textId="77777777" w:rsidR="00FC39D9" w:rsidRDefault="00000000">
            <w:r>
              <w:rPr>
                <w:sz w:val="19"/>
                <w:szCs w:val="19"/>
              </w:rPr>
              <w:t>Independent Data Monitoring Committee (IDMC), with defined stopping rules</w:t>
            </w:r>
          </w:p>
        </w:tc>
      </w:tr>
    </w:tbl>
    <w:p w14:paraId="3DEBA2E1" w14:textId="77777777" w:rsidR="00FC39D9" w:rsidRDefault="00FC39D9">
      <w:pPr>
        <w:spacing w:after="160"/>
      </w:pPr>
    </w:p>
    <w:p w14:paraId="13D47938" w14:textId="77777777" w:rsidR="00FC39D9" w:rsidRDefault="00000000">
      <w:pPr>
        <w:spacing w:after="160" w:line="276" w:lineRule="auto"/>
      </w:pPr>
      <w:r>
        <w:t>What this means for site operations, in practical terms:</w:t>
      </w:r>
    </w:p>
    <w:p w14:paraId="593B06E6" w14:textId="77777777" w:rsidR="00FC39D9" w:rsidRDefault="00000000">
      <w:pPr>
        <w:pStyle w:val="ListParagraph"/>
        <w:numPr>
          <w:ilvl w:val="0"/>
          <w:numId w:val="2"/>
        </w:numPr>
        <w:spacing w:after="90"/>
      </w:pPr>
      <w:r>
        <w:t>Two invasive procedures anchor the whole trial (RHC at screening and again at Week 26) — these are the visits that must never slip.</w:t>
      </w:r>
    </w:p>
    <w:p w14:paraId="4884902D" w14:textId="77777777" w:rsidR="00FC39D9" w:rsidRDefault="00000000">
      <w:pPr>
        <w:pStyle w:val="ListParagraph"/>
        <w:numPr>
          <w:ilvl w:val="0"/>
          <w:numId w:val="2"/>
        </w:numPr>
        <w:spacing w:after="90"/>
      </w:pPr>
      <w:r>
        <w:t>The comparator drug, IPRA-01, does not start until Day 15 and is titrated weekly through Week 12, which drives a heavy phone-contact burden on the coordinator.</w:t>
      </w:r>
    </w:p>
    <w:p w14:paraId="209BFA66" w14:textId="77777777" w:rsidR="00FC39D9" w:rsidRDefault="00000000">
      <w:pPr>
        <w:pStyle w:val="ListParagraph"/>
        <w:numPr>
          <w:ilvl w:val="0"/>
          <w:numId w:val="2"/>
        </w:numPr>
        <w:spacing w:after="90"/>
      </w:pPr>
      <w:r>
        <w:t>Randomization and both study-drug supply and unblinding all run through an Interactive Response Technology (IRT) system — nothing about drug dispensing happens without it.</w:t>
      </w:r>
    </w:p>
    <w:p w14:paraId="1AE1CBB0" w14:textId="77777777" w:rsidR="00FC39D9" w:rsidRDefault="00000000">
      <w:pPr>
        <w:pStyle w:val="ListParagraph"/>
        <w:numPr>
          <w:ilvl w:val="0"/>
          <w:numId w:val="2"/>
        </w:numPr>
        <w:spacing w:after="90"/>
      </w:pPr>
      <w:r>
        <w:t>Because the population is treatment-naïve and newly diagnosed, recruitment depends heavily on referral relationships with pulmonology and cardiology clinics rather than on trial advertising.</w:t>
      </w:r>
    </w:p>
    <w:p w14:paraId="634FCDFE" w14:textId="77777777" w:rsidR="00FC39D9" w:rsidRDefault="00000000">
      <w:pPr>
        <w:pStyle w:val="Heading1"/>
      </w:pPr>
      <w:r>
        <w:t>3. Study Design Review</w:t>
      </w:r>
    </w:p>
    <w:p w14:paraId="079E65D0" w14:textId="77777777" w:rsidR="00FC39D9" w:rsidRDefault="00000000">
      <w:pPr>
        <w:spacing w:after="160" w:line="276" w:lineRule="auto"/>
      </w:pPr>
      <w:r>
        <w:t>This chapter looks at the design elements of INITIATE-PAH that most directly shape day-to-day site work. A coordinator does not need to be a statistician, but does need to understand why the design looks the way it does, because that understanding drives how visits are scheduled, how deviations are triaged, and how much the study depends on a handful of critical procedures.</w:t>
      </w:r>
    </w:p>
    <w:p w14:paraId="62B49C8D" w14:textId="77777777" w:rsidR="00FC39D9" w:rsidRDefault="00000000">
      <w:pPr>
        <w:pStyle w:val="Heading2"/>
      </w:pPr>
      <w:r>
        <w:t>3.1 Why Triple vs. Dual Therapy</w:t>
      </w:r>
    </w:p>
    <w:p w14:paraId="45E6ABB5" w14:textId="77777777" w:rsidR="00FC39D9" w:rsidRDefault="00000000">
      <w:pPr>
        <w:spacing w:after="160" w:line="276" w:lineRule="auto"/>
      </w:pPr>
      <w:r>
        <w:t xml:space="preserve">The comparison at the </w:t>
      </w:r>
      <w:proofErr w:type="spellStart"/>
      <w:r>
        <w:t>center</w:t>
      </w:r>
      <w:proofErr w:type="spellEnd"/>
      <w:r>
        <w:t xml:space="preserve"> of this study is between adding a third oral agent (IPRA-01, a prostacyclin receptor agonist analogue) to standard dual therapy versus keeping patients on dual therapy with a matched placebo. Operationally, this means the two background drugs (ERA-01 and PDE5i-01) are given open-label to everyone, and only the third drug is blinded. New staff sometimes assume the whole regimen is blinded — it is worth stating clearly in training that it is not, and that only IPRA-01 versus placebo is masked.</w:t>
      </w:r>
    </w:p>
    <w:p w14:paraId="3D561A77" w14:textId="77777777" w:rsidR="00FC39D9" w:rsidRDefault="00000000">
      <w:pPr>
        <w:pStyle w:val="Heading2"/>
      </w:pPr>
      <w:r>
        <w:t>3.2 Randomization and Stratification</w:t>
      </w:r>
    </w:p>
    <w:p w14:paraId="2B422DA9" w14:textId="77777777" w:rsidR="00FC39D9" w:rsidRDefault="00000000">
      <w:pPr>
        <w:spacing w:after="160" w:line="276" w:lineRule="auto"/>
      </w:pPr>
      <w:r>
        <w:t xml:space="preserve">Randomization is 1:1 through IRT, stratified by region (North America versus rest of world) and by baseline WHO Functional Class (I/II versus III/IV). For the coordinator, the practical implication is that the eligibility confirmation and the WHO FC assessment must be locked in before the randomization call is made in IRT — an incorrect or late FC entry can </w:t>
      </w:r>
      <w:proofErr w:type="spellStart"/>
      <w:r>
        <w:t>misstratify</w:t>
      </w:r>
      <w:proofErr w:type="spellEnd"/>
      <w:r>
        <w:t xml:space="preserve"> a patient and become a reportable protocol deviation.</w:t>
      </w:r>
    </w:p>
    <w:p w14:paraId="24DE6B7C" w14:textId="77777777" w:rsidR="00FC39D9" w:rsidRDefault="00000000">
      <w:pPr>
        <w:pStyle w:val="Heading2"/>
      </w:pPr>
      <w:r>
        <w:t>3.3 Blinding Structure</w:t>
      </w:r>
    </w:p>
    <w:p w14:paraId="03CE4BA4" w14:textId="77777777" w:rsidR="00FC39D9" w:rsidRDefault="00000000">
      <w:pPr>
        <w:spacing w:after="160" w:line="276" w:lineRule="auto"/>
      </w:pPr>
      <w:r>
        <w:lastRenderedPageBreak/>
        <w:t>Participants, investigators, and outcome assessors are blinded to IPRA-01 versus placebo. Emergency unblinding is available through IRT for safety reasons. Sites should know, before the first patient is even screened, who at the site is authorized to request unblinding and what the escalation path is, because in an emergency this is not the moment to be looking up a phone number.</w:t>
      </w:r>
    </w:p>
    <w:p w14:paraId="1C389305" w14:textId="77777777" w:rsidR="00FC39D9" w:rsidRDefault="00000000">
      <w:pPr>
        <w:pStyle w:val="Heading2"/>
      </w:pPr>
      <w:r>
        <w:t>3.4 Primary and Secondary Endpoints — Operational Reading</w:t>
      </w:r>
    </w:p>
    <w:p w14:paraId="416CE262" w14:textId="77777777" w:rsidR="00FC39D9" w:rsidRDefault="00000000">
      <w:pPr>
        <w:spacing w:after="160" w:line="276" w:lineRule="auto"/>
      </w:pPr>
      <w:r>
        <w:t xml:space="preserve">The primary endpoint, change in PVR from baseline to Week 26, depends entirely on a well-executed RHC performed to a standardized technique (correct catheter position, zeroing, and measurement at end-expiration). Key secondary endpoints — 6-minute walk distance (6MWD), Borg </w:t>
      </w:r>
      <w:proofErr w:type="spellStart"/>
      <w:r>
        <w:t>Dyspnea</w:t>
      </w:r>
      <w:proofErr w:type="spellEnd"/>
      <w:r>
        <w:t xml:space="preserve"> Index, WHO Functional Class, and NT-</w:t>
      </w:r>
      <w:proofErr w:type="spellStart"/>
      <w:r>
        <w:t>proBNP</w:t>
      </w:r>
      <w:proofErr w:type="spellEnd"/>
      <w:r>
        <w:t xml:space="preserve"> — depend on trained, consistent raters using the same equipment and, where possible, the same time of day for each assessment. None of this is exotic, but it is exactly the kind of detail that separates a clean dataset from one full of queries.</w:t>
      </w:r>
    </w:p>
    <w:p w14:paraId="0935B2F4" w14:textId="77777777" w:rsidR="00FC39D9" w:rsidRDefault="00000000">
      <w:pPr>
        <w:pStyle w:val="Heading2"/>
      </w:pPr>
      <w:r>
        <w:t>3.5 Study Duration and Extension</w:t>
      </w:r>
    </w:p>
    <w:p w14:paraId="6C1EFCF3" w14:textId="77777777" w:rsidR="00FC39D9" w:rsidRDefault="00000000">
      <w:pPr>
        <w:spacing w:after="160" w:line="276" w:lineRule="auto"/>
      </w:pPr>
      <w:r>
        <w:t>The core observation period runs to Week 26, with an end-of-study (EOS) visit roughly 30 days after the last dose or early discontinuation. Participants may continue into an optional long-term extension with visits every six months, up to 24 months. Coordinators should track which patients are extension-eligible separately, since supply forecasting and monitoring visit planning both change once a site moves into the extension phase.</w:t>
      </w:r>
    </w:p>
    <w:p w14:paraId="7BDAECF6" w14:textId="77777777" w:rsidR="00FC39D9" w:rsidRDefault="00000000">
      <w:pPr>
        <w:pStyle w:val="Heading1"/>
      </w:pPr>
      <w:r>
        <w:t>4. Site Feasibility Assessment</w:t>
      </w:r>
    </w:p>
    <w:p w14:paraId="18C18EC8" w14:textId="77777777" w:rsidR="00FC39D9" w:rsidRDefault="00000000">
      <w:pPr>
        <w:spacing w:after="160" w:line="276" w:lineRule="auto"/>
      </w:pPr>
      <w:r>
        <w:t>Feasibility is where operational risk is either caught early or quietly built into the study for the next two years. A feasibility questionnaire that is filled out optimistically, without an honest look at referral volume or catheterization lab access, tends to surface as a low-enrolling site six months later — a much more expensive problem to fix.</w:t>
      </w:r>
    </w:p>
    <w:p w14:paraId="548F5A68" w14:textId="77777777" w:rsidR="00FC39D9" w:rsidRDefault="00000000">
      <w:pPr>
        <w:pStyle w:val="Heading2"/>
      </w:pPr>
      <w:r>
        <w:t>4.1 Questions a Feasibility Assessment Must Answer</w:t>
      </w:r>
    </w:p>
    <w:p w14:paraId="1A8C3A20" w14:textId="77777777" w:rsidR="00FC39D9" w:rsidRDefault="00000000">
      <w:pPr>
        <w:pStyle w:val="ListParagraph"/>
        <w:numPr>
          <w:ilvl w:val="0"/>
          <w:numId w:val="2"/>
        </w:numPr>
        <w:spacing w:after="90"/>
      </w:pPr>
      <w:r>
        <w:t>Does the site have realistic access to newly diagnosed, treatment-naïve PAH patients — typically through a pulmonary hypertension referral network — given the six-month diagnosis window in the protocol?</w:t>
      </w:r>
    </w:p>
    <w:p w14:paraId="109E9826" w14:textId="77777777" w:rsidR="00FC39D9" w:rsidRDefault="00000000">
      <w:pPr>
        <w:pStyle w:val="ListParagraph"/>
        <w:numPr>
          <w:ilvl w:val="0"/>
          <w:numId w:val="2"/>
        </w:numPr>
        <w:spacing w:after="90"/>
      </w:pPr>
      <w:r>
        <w:t>Is right heart catheterization available on-site, or would patients need to be referred elsewhere for both the screening and Week 26 procedures? A referral pathway that adds scheduling delay is a direct threat to the Week 26 visit window.</w:t>
      </w:r>
    </w:p>
    <w:p w14:paraId="2F3F97F6" w14:textId="77777777" w:rsidR="00FC39D9" w:rsidRDefault="00000000">
      <w:pPr>
        <w:pStyle w:val="ListParagraph"/>
        <w:numPr>
          <w:ilvl w:val="0"/>
          <w:numId w:val="2"/>
        </w:numPr>
        <w:spacing w:after="90"/>
      </w:pPr>
      <w:r>
        <w:t>Does the site have a locked, temperature-monitored pharmacy storage area suitable for IP, and staff available to manage receipt, dispensing, and reconciliation?</w:t>
      </w:r>
    </w:p>
    <w:p w14:paraId="35B58E03" w14:textId="77777777" w:rsidR="00FC39D9" w:rsidRDefault="00000000">
      <w:pPr>
        <w:pStyle w:val="ListParagraph"/>
        <w:numPr>
          <w:ilvl w:val="0"/>
          <w:numId w:val="2"/>
        </w:numPr>
        <w:spacing w:after="90"/>
      </w:pPr>
      <w:r>
        <w:t>Can the site commit staff time to weekly phone contacts during the Day 15 to Week 12 IPRA-01 titration period, on top of routine clinic workload?</w:t>
      </w:r>
    </w:p>
    <w:p w14:paraId="1115D42C" w14:textId="77777777" w:rsidR="00FC39D9" w:rsidRDefault="00000000">
      <w:pPr>
        <w:pStyle w:val="ListParagraph"/>
        <w:numPr>
          <w:ilvl w:val="0"/>
          <w:numId w:val="2"/>
        </w:numPr>
        <w:spacing w:after="90"/>
      </w:pPr>
      <w:r>
        <w:t xml:space="preserve">Is there central laboratory shipping infrastructure in place (courier pick-up, appropriate storage for aliquots) given the monthly liver and </w:t>
      </w:r>
      <w:proofErr w:type="spellStart"/>
      <w:r>
        <w:t>hemoglobin</w:t>
      </w:r>
      <w:proofErr w:type="spellEnd"/>
      <w:r>
        <w:t xml:space="preserve"> testing requirement?</w:t>
      </w:r>
    </w:p>
    <w:p w14:paraId="0D794F9D" w14:textId="77777777" w:rsidR="00FC39D9" w:rsidRDefault="00000000">
      <w:pPr>
        <w:pStyle w:val="ListParagraph"/>
        <w:numPr>
          <w:ilvl w:val="0"/>
          <w:numId w:val="2"/>
        </w:numPr>
        <w:spacing w:after="90"/>
      </w:pPr>
      <w:r>
        <w:t>Has the site run a comparably complex double-blind, multi-drug protocol before, and can current staff describe IRT-based drug assignment without prompting?</w:t>
      </w:r>
    </w:p>
    <w:p w14:paraId="01EFF349" w14:textId="77777777" w:rsidR="00FC39D9" w:rsidRDefault="00000000">
      <w:pPr>
        <w:pStyle w:val="Heading2"/>
      </w:pPr>
      <w:r>
        <w:lastRenderedPageBreak/>
        <w:t>4.2 Realistic Site Profile</w:t>
      </w:r>
    </w:p>
    <w:p w14:paraId="6D54E24D" w14:textId="77777777" w:rsidR="00FC39D9" w:rsidRDefault="00000000">
      <w:pPr>
        <w:spacing w:after="160" w:line="276" w:lineRule="auto"/>
      </w:pPr>
      <w:r>
        <w:t xml:space="preserve">For a trial like INITIATE-PAH, the strongest sites are typically pulmonary hypertension </w:t>
      </w:r>
      <w:proofErr w:type="spellStart"/>
      <w:r>
        <w:t>centers</w:t>
      </w:r>
      <w:proofErr w:type="spellEnd"/>
      <w:r>
        <w:t xml:space="preserve"> of excellence or academic cardiology/pulmonology programs with an existing RHC service and a track record in PAH trials. A general cardiology practice without in-house catheterization, or without a steady referral stream of newly diagnosed (not previously treated) patients, is a weaker candidate regardless of how enthusiastic the investigator is at the feasibility call.</w:t>
      </w:r>
    </w:p>
    <w:p w14:paraId="6C7A994F" w14:textId="77777777" w:rsidR="00FC39D9" w:rsidRDefault="00000000">
      <w:pPr>
        <w:pStyle w:val="Heading2"/>
      </w:pPr>
      <w:r>
        <w:t>4.3 Common Feasibility Mistakes</w:t>
      </w:r>
    </w:p>
    <w:p w14:paraId="36586DDA" w14:textId="77777777" w:rsidR="00FC39D9" w:rsidRDefault="00000000">
      <w:pPr>
        <w:pStyle w:val="ListParagraph"/>
        <w:numPr>
          <w:ilvl w:val="0"/>
          <w:numId w:val="2"/>
        </w:numPr>
        <w:spacing w:after="90"/>
      </w:pPr>
      <w:r>
        <w:t>Overestimating the eligible population by counting all PAH patients seen at the site, rather than only those who are newly diagnosed and treatment-naïve.</w:t>
      </w:r>
    </w:p>
    <w:p w14:paraId="797B0B4D" w14:textId="77777777" w:rsidR="00FC39D9" w:rsidRDefault="00000000">
      <w:pPr>
        <w:pStyle w:val="ListParagraph"/>
        <w:numPr>
          <w:ilvl w:val="0"/>
          <w:numId w:val="2"/>
        </w:numPr>
        <w:spacing w:after="90"/>
      </w:pPr>
      <w:r>
        <w:t xml:space="preserve">Assuming an affiliated hospital's </w:t>
      </w:r>
      <w:proofErr w:type="spellStart"/>
      <w:r>
        <w:t>cath</w:t>
      </w:r>
      <w:proofErr w:type="spellEnd"/>
      <w:r>
        <w:t xml:space="preserve"> lab slots are automatically available on the tight windows the protocol requires.</w:t>
      </w:r>
    </w:p>
    <w:p w14:paraId="006D7147" w14:textId="77777777" w:rsidR="00FC39D9" w:rsidRDefault="00000000">
      <w:pPr>
        <w:pStyle w:val="ListParagraph"/>
        <w:numPr>
          <w:ilvl w:val="0"/>
          <w:numId w:val="2"/>
        </w:numPr>
        <w:spacing w:after="90"/>
      </w:pPr>
      <w:r>
        <w:t>Underestimating coordinator time needed for the weekly titration calls, which run for roughly ten weeks per patient.</w:t>
      </w:r>
    </w:p>
    <w:p w14:paraId="019F5E47" w14:textId="77777777" w:rsidR="00FC39D9" w:rsidRDefault="00000000">
      <w:pPr>
        <w:pStyle w:val="ListParagraph"/>
        <w:numPr>
          <w:ilvl w:val="0"/>
          <w:numId w:val="2"/>
        </w:numPr>
        <w:spacing w:after="90"/>
      </w:pPr>
      <w:r>
        <w:t>Not confirming pharmacy capacity for a three-drug regimen with a blinded and an open-label component before commitment.</w:t>
      </w:r>
    </w:p>
    <w:p w14:paraId="59F08716" w14:textId="77777777" w:rsidR="00FC39D9" w:rsidRDefault="00000000">
      <w:pPr>
        <w:pStyle w:val="Heading1"/>
      </w:pPr>
      <w:r>
        <w:t>5. Study Start-Up Activities</w:t>
      </w:r>
    </w:p>
    <w:p w14:paraId="7B7B2C4B" w14:textId="77777777" w:rsidR="00FC39D9" w:rsidRDefault="00000000">
      <w:pPr>
        <w:spacing w:after="160" w:line="276" w:lineRule="auto"/>
      </w:pPr>
      <w:r>
        <w:t xml:space="preserve">Start-up is the phase where a site moves from 'selected' to 'ready to </w:t>
      </w:r>
      <w:proofErr w:type="spellStart"/>
      <w:r>
        <w:t>enroll</w:t>
      </w:r>
      <w:proofErr w:type="spellEnd"/>
      <w:r>
        <w:t>.' It is also where most avoidable delays happen, because a lot of start-up work runs in parallel across different people and organizations, and a hold-up in one thread (say, contract signature) can block everything downstream even if the ethics submission is finished early. The sub-sections below follow the main workstreams a CTA or CTC will touch during start-up on a study like INITIATE-PAH.</w:t>
      </w:r>
    </w:p>
    <w:p w14:paraId="3F5F2DE9" w14:textId="77777777" w:rsidR="00FC39D9" w:rsidRDefault="00000000">
      <w:pPr>
        <w:pStyle w:val="Heading2"/>
      </w:pPr>
      <w:r>
        <w:t>5.1 Ethics Submission</w:t>
      </w:r>
    </w:p>
    <w:p w14:paraId="41711671" w14:textId="77777777" w:rsidR="00FC39D9" w:rsidRDefault="00000000">
      <w:pPr>
        <w:spacing w:after="160" w:line="276" w:lineRule="auto"/>
      </w:pPr>
      <w:r>
        <w:t>The site (or a central IRB, depending on the country and sponsor model) must approve the protocol, the Investigator's Brochure, and the informed consent form (ICF) in the local language before any study-specific procedure occurs — including the screening RHC. For INITIATE-PAH, the ICF needs to reflect the invasive nature of RHC, the blinded component of treatment, the WOCBP contraception and monthly pregnancy testing requirements, and the defined liver-enzyme monitoring pathway. A coordinator should track ethics approval as a hard gate: no consent can be obtained, and therefore no pre-Day-1 RHC used for eligibility, until approval is in hand.</w:t>
      </w:r>
    </w:p>
    <w:p w14:paraId="2A76BBE1" w14:textId="77777777" w:rsidR="00FC39D9" w:rsidRDefault="00000000">
      <w:pPr>
        <w:pStyle w:val="Heading2"/>
      </w:pPr>
      <w:r>
        <w:t>5.2 Contracts and Budget</w:t>
      </w:r>
    </w:p>
    <w:p w14:paraId="28125D83" w14:textId="77777777" w:rsidR="00FC39D9" w:rsidRDefault="00000000">
      <w:pPr>
        <w:spacing w:after="160" w:line="276" w:lineRule="auto"/>
      </w:pPr>
      <w:r>
        <w:t>The clinical trial agreement and the site budget are negotiated in parallel with, but independent of, ethics review. Because INITIATE-PAH involves an invasive procedure (RHC) performed twice per patient, plus monthly central lab draws and weekly coordinator phone contacts through Week 12, the budget needs to reflect a genuinely higher-complexity fee structure than a simple oral-only trial. Chapter 10 covers this in more detail; the point to flag here is that budget finalization is frequently the true rate-limiting step in start-up, even when everyone remembers to blame ethics.</w:t>
      </w:r>
    </w:p>
    <w:p w14:paraId="639A3BF6" w14:textId="77777777" w:rsidR="00FC39D9" w:rsidRDefault="00000000">
      <w:pPr>
        <w:pStyle w:val="Heading2"/>
      </w:pPr>
      <w:r>
        <w:lastRenderedPageBreak/>
        <w:t>5.3 Vendor Onboarding</w:t>
      </w:r>
    </w:p>
    <w:p w14:paraId="2EFB303F" w14:textId="77777777" w:rsidR="00FC39D9" w:rsidRDefault="00000000">
      <w:pPr>
        <w:spacing w:after="160" w:line="276" w:lineRule="auto"/>
      </w:pPr>
      <w:r>
        <w:t>Before first patient in, the site needs active accounts and, where applicable, completed training with: the central laboratory (for kit shipment and monthly draws), the IRT/IWRS vendor (for randomization, kit assignment, and emergency unblinding), courier services for ambient lab shipments, and — where used — a home health or phlebotomy vendor for participants who cannot easily travel for the monthly labs. Each of these needs its own account provisioning and, in most cases, a signed confidentiality or data processing agreement.</w:t>
      </w:r>
    </w:p>
    <w:p w14:paraId="7576BF98" w14:textId="77777777" w:rsidR="00FC39D9" w:rsidRDefault="00000000">
      <w:pPr>
        <w:pStyle w:val="Heading2"/>
      </w:pPr>
      <w:r>
        <w:t>5.4 System Access</w:t>
      </w:r>
    </w:p>
    <w:p w14:paraId="67A11AD5" w14:textId="77777777" w:rsidR="00FC39D9" w:rsidRDefault="00000000">
      <w:pPr>
        <w:spacing w:after="160" w:line="276" w:lineRule="auto"/>
      </w:pPr>
      <w:r>
        <w:t>A realistic access list for INITIATE-PAH includes: the EDC (electronic data capture) system, IRT/IWRS, the central lab portal, the pharmacovigilance (PV) safety portal for SAE reporting, an e-portal or e-mail channel for ethics submissions, a CTMS if the sponsor uses one, ePRO if patient-reported outcomes are collected electronically, and a training LMS for vendor-specific modules. New coordinators are often surprised by how many separate logins this adds up to — building an access tracker at start-up (who has access to what, and when it was granted) avoids scrambling later.</w:t>
      </w:r>
    </w:p>
    <w:p w14:paraId="2A8F5DE2" w14:textId="77777777" w:rsidR="00FC39D9" w:rsidRDefault="00000000">
      <w:pPr>
        <w:pStyle w:val="Heading2"/>
      </w:pPr>
      <w:r>
        <w:t>5.5 Staff Training</w:t>
      </w:r>
    </w:p>
    <w:p w14:paraId="59116E48" w14:textId="77777777" w:rsidR="00FC39D9" w:rsidRDefault="00000000">
      <w:pPr>
        <w:spacing w:after="160" w:line="276" w:lineRule="auto"/>
      </w:pPr>
      <w:r>
        <w:t>Protocol-specific training should cover, at minimum: the RHC procedure and documentation requirements, 6MWT administration to a standardized method, WHO Functional Class assessment, the liver-enzyme follow-up algorithm, IP dispensing and accountability, and the consent process for a study with an invasive baseline procedure. Training completion should be documented and filed — this becomes part of the Investigator Site File (ISF) and is one of the first things a monitor checks at the first monitoring visit.</w:t>
      </w:r>
    </w:p>
    <w:p w14:paraId="0CC0AF6E" w14:textId="77777777" w:rsidR="00FC39D9" w:rsidRDefault="00000000">
      <w:pPr>
        <w:pStyle w:val="Heading2"/>
      </w:pPr>
      <w:r>
        <w:t>5.6 Site Initiation Visit (SIV)</w:t>
      </w:r>
    </w:p>
    <w:p w14:paraId="5716B852" w14:textId="77777777" w:rsidR="00FC39D9" w:rsidRDefault="00000000">
      <w:pPr>
        <w:spacing w:after="160" w:line="276" w:lineRule="auto"/>
      </w:pPr>
      <w:r>
        <w:t xml:space="preserve">The SIV is the last gate before </w:t>
      </w:r>
      <w:proofErr w:type="spellStart"/>
      <w:r>
        <w:t>enrollment</w:t>
      </w:r>
      <w:proofErr w:type="spellEnd"/>
      <w:r>
        <w:t xml:space="preserve"> opens. A well-run SIV for this protocol walks through the full visit schedule, the RHC standardization requirements, IP storage and dispensing logs, the IRT randomization and titration workflow, the liver safety algorithm, and pregnancy testing and contraception documentation for WOCBP. By the end of the SIV, every role at the site should know exactly what they are responsible for </w:t>
      </w:r>
      <w:proofErr w:type="spellStart"/>
      <w:r>
        <w:t>at</w:t>
      </w:r>
      <w:proofErr w:type="spellEnd"/>
      <w:r>
        <w:t xml:space="preserve"> Day 1 — this is best confirmed with a signed delegation log (see Appendix).</w:t>
      </w:r>
    </w:p>
    <w:p w14:paraId="1DAA05D2" w14:textId="77777777" w:rsidR="00FC39D9" w:rsidRDefault="00000000">
      <w:pPr>
        <w:pStyle w:val="Heading1"/>
      </w:pPr>
      <w:r>
        <w:t>6. Patient Journey</w:t>
      </w:r>
    </w:p>
    <w:p w14:paraId="1EAE0F93" w14:textId="77777777" w:rsidR="00FC39D9" w:rsidRDefault="00000000">
      <w:pPr>
        <w:spacing w:after="160" w:line="276" w:lineRule="auto"/>
      </w:pPr>
      <w:r>
        <w:t>Mapping the patient journey end-to-end helps a new coordinator see how clinical assessments, IP logistics, and data entry all have to land on the same day without colliding. The workflow below reflects the INITIATE-PAH visit structure.</w:t>
      </w:r>
    </w:p>
    <w:p w14:paraId="16983C6B" w14:textId="77777777" w:rsidR="00FC39D9" w:rsidRDefault="00000000">
      <w:pPr>
        <w:pStyle w:val="Heading2"/>
      </w:pPr>
      <w:r>
        <w:t>6.1 Journey Workflow</w:t>
      </w:r>
    </w:p>
    <w:p w14:paraId="69528952" w14:textId="77777777" w:rsidR="00FC39D9" w:rsidRDefault="00000000">
      <w:pPr>
        <w:pStyle w:val="ListParagraph"/>
        <w:numPr>
          <w:ilvl w:val="0"/>
          <w:numId w:val="3"/>
        </w:numPr>
        <w:spacing w:after="90"/>
      </w:pPr>
      <w:r>
        <w:t>Pre-screening / Referral — Patient identified through a PAH referral network as newly diagnosed (under 6 months) and treatment-naïve; initial eligibility discussion with the referring physician.</w:t>
      </w:r>
    </w:p>
    <w:p w14:paraId="1E6AEE53" w14:textId="77777777" w:rsidR="00FC39D9" w:rsidRDefault="00000000">
      <w:pPr>
        <w:pStyle w:val="ListParagraph"/>
        <w:numPr>
          <w:ilvl w:val="0"/>
          <w:numId w:val="3"/>
        </w:numPr>
        <w:spacing w:after="90"/>
      </w:pPr>
      <w:r>
        <w:lastRenderedPageBreak/>
        <w:t>Consent — ICF reviewed and signed in the participant's own language before any study-specific procedure; site staff authorized on the delegation log conduct the consent discussion.</w:t>
      </w:r>
    </w:p>
    <w:p w14:paraId="0745B056" w14:textId="77777777" w:rsidR="00FC39D9" w:rsidRDefault="00000000">
      <w:pPr>
        <w:pStyle w:val="ListParagraph"/>
        <w:numPr>
          <w:ilvl w:val="0"/>
          <w:numId w:val="3"/>
        </w:numPr>
        <w:spacing w:after="90"/>
      </w:pPr>
      <w:r>
        <w:t xml:space="preserve">Screening (Day −28 to Day −1) — Eligibility confirmed; baseline RHC performed (a pre-consent RHC done at the site within 28 days of Day 1 may be used if consent is obtained before </w:t>
      </w:r>
      <w:proofErr w:type="spellStart"/>
      <w:r>
        <w:t>enrollment</w:t>
      </w:r>
      <w:proofErr w:type="spellEnd"/>
      <w:r>
        <w:t>); demographics, medical history, physical exam, vitals, WHO FC, 6MWD/Borg, central labs, and serum pregnancy test (WOCBP) collected.</w:t>
      </w:r>
    </w:p>
    <w:p w14:paraId="178A7FFA" w14:textId="77777777" w:rsidR="00FC39D9" w:rsidRDefault="00000000">
      <w:pPr>
        <w:pStyle w:val="ListParagraph"/>
        <w:numPr>
          <w:ilvl w:val="0"/>
          <w:numId w:val="3"/>
        </w:numPr>
        <w:spacing w:after="90"/>
      </w:pPr>
      <w:r>
        <w:t>Day 1 (Randomization) — Final eligibility confirmed; participant randomized 1:1 via IRT, stratified by region and WHO FC; ERA-01 and PDE5i-01 (open-label) dispensed; urine pregnancy test for WOCBP.</w:t>
      </w:r>
    </w:p>
    <w:p w14:paraId="375C5E28" w14:textId="77777777" w:rsidR="00FC39D9" w:rsidRDefault="00000000">
      <w:pPr>
        <w:pStyle w:val="ListParagraph"/>
        <w:numPr>
          <w:ilvl w:val="0"/>
          <w:numId w:val="3"/>
        </w:numPr>
        <w:spacing w:after="90"/>
      </w:pPr>
      <w:r>
        <w:t>Day 8 — Interim safety and tolerability check (visit or phone call, per protocol windows).</w:t>
      </w:r>
    </w:p>
    <w:p w14:paraId="6D94F12E" w14:textId="77777777" w:rsidR="00FC39D9" w:rsidRDefault="00000000">
      <w:pPr>
        <w:pStyle w:val="ListParagraph"/>
        <w:numPr>
          <w:ilvl w:val="0"/>
          <w:numId w:val="3"/>
        </w:numPr>
        <w:spacing w:after="90"/>
      </w:pPr>
      <w:r>
        <w:t>Day 15 — Blinded IPRA-01 or placebo initiated; up-titration schedule begins.</w:t>
      </w:r>
    </w:p>
    <w:p w14:paraId="05F56AF3" w14:textId="77777777" w:rsidR="00FC39D9" w:rsidRDefault="00000000">
      <w:pPr>
        <w:pStyle w:val="ListParagraph"/>
        <w:numPr>
          <w:ilvl w:val="0"/>
          <w:numId w:val="3"/>
        </w:numPr>
        <w:spacing w:after="90"/>
      </w:pPr>
      <w:r>
        <w:t>Weekly Phone Calls (through Week 12) — Coordinator contacts participant to review tolerability, guide up-titration per the dosing table, and capture any adverse events.</w:t>
      </w:r>
    </w:p>
    <w:p w14:paraId="33149BDC" w14:textId="77777777" w:rsidR="00FC39D9" w:rsidRDefault="00000000">
      <w:pPr>
        <w:pStyle w:val="ListParagraph"/>
        <w:numPr>
          <w:ilvl w:val="0"/>
          <w:numId w:val="3"/>
        </w:numPr>
        <w:spacing w:after="90"/>
      </w:pPr>
      <w:r>
        <w:t>Week 12 Visit — Vitals, WHO FC, 6MWD/Borg, labs, biomarkers (NT-</w:t>
      </w:r>
      <w:proofErr w:type="spellStart"/>
      <w:r>
        <w:t>proBNP</w:t>
      </w:r>
      <w:proofErr w:type="spellEnd"/>
      <w:r>
        <w:t>), IP dispensing and return, and reconciliation of the titration period.</w:t>
      </w:r>
    </w:p>
    <w:p w14:paraId="38AC0783" w14:textId="77777777" w:rsidR="00FC39D9" w:rsidRDefault="00000000">
      <w:pPr>
        <w:pStyle w:val="ListParagraph"/>
        <w:numPr>
          <w:ilvl w:val="0"/>
          <w:numId w:val="3"/>
        </w:numPr>
        <w:spacing w:after="90"/>
      </w:pPr>
      <w:r>
        <w:t>Week 26 Visit (Primary Endpoint) — Second RHC; full efficacy and safety assessment battery; this is the visit the entire trial is powered around, and it should never be scheduled outside its ±14-day window without a strong operational reason.</w:t>
      </w:r>
    </w:p>
    <w:p w14:paraId="3AA8F618" w14:textId="77777777" w:rsidR="00FC39D9" w:rsidRDefault="00000000">
      <w:pPr>
        <w:pStyle w:val="ListParagraph"/>
        <w:numPr>
          <w:ilvl w:val="0"/>
          <w:numId w:val="3"/>
        </w:numPr>
        <w:spacing w:after="90"/>
      </w:pPr>
      <w:r>
        <w:t>End of Treatment (EOT) / Early Discontinuation (if applicable) — Triggered by withdrawal, pregnancy, unacceptable toxicity, protocol-defined liver thresholds, or other early-discontinuation criteria; EOT/EOS safety visit performed regardless of the reason for stopping.</w:t>
      </w:r>
    </w:p>
    <w:p w14:paraId="7EF5D7D3" w14:textId="77777777" w:rsidR="00FC39D9" w:rsidRDefault="00000000">
      <w:pPr>
        <w:pStyle w:val="ListParagraph"/>
        <w:numPr>
          <w:ilvl w:val="0"/>
          <w:numId w:val="3"/>
        </w:numPr>
        <w:spacing w:after="90"/>
      </w:pPr>
      <w:r>
        <w:t>End of Study (EOS) — Approximately 30 days after the last IP dose or early termination; final safety assessment and, for WOCBP, a final pregnancy test.</w:t>
      </w:r>
    </w:p>
    <w:p w14:paraId="3865A314" w14:textId="77777777" w:rsidR="00FC39D9" w:rsidRDefault="00000000">
      <w:pPr>
        <w:pStyle w:val="ListParagraph"/>
        <w:numPr>
          <w:ilvl w:val="0"/>
          <w:numId w:val="3"/>
        </w:numPr>
        <w:spacing w:after="90"/>
      </w:pPr>
      <w:r>
        <w:t>Optional Extension — Visits every 6 months up to Month 24 for participants continuing into the long-term extension.</w:t>
      </w:r>
    </w:p>
    <w:p w14:paraId="2E2DFF9F" w14:textId="77777777" w:rsidR="00FC39D9" w:rsidRDefault="00FC39D9">
      <w:pPr>
        <w:spacing w:after="120"/>
      </w:pPr>
    </w:p>
    <w:p w14:paraId="35B449EF" w14:textId="77777777" w:rsidR="00FC39D9" w:rsidRDefault="00000000">
      <w:pPr>
        <w:spacing w:after="160" w:line="276" w:lineRule="auto"/>
      </w:pPr>
      <w:r>
        <w:t xml:space="preserve">A few operational notes worth flagging to new staff: the weekly phone-call block between Day 15 and Week 12 is the single heaviest coordinator workload period per patient, and it is easy to underestimate when planning caseload. The Week 26 RHC is the visit most likely to need advance scheduling with an external </w:t>
      </w:r>
      <w:proofErr w:type="spellStart"/>
      <w:r>
        <w:t>cath</w:t>
      </w:r>
      <w:proofErr w:type="spellEnd"/>
      <w:r>
        <w:t xml:space="preserve"> lab if the site does not have in-house capability — this should be pencilled in at the Week 12 visit, not the week before Week 26.</w:t>
      </w:r>
    </w:p>
    <w:p w14:paraId="60852120" w14:textId="77777777" w:rsidR="00FC39D9" w:rsidRDefault="00000000">
      <w:pPr>
        <w:pStyle w:val="Heading1"/>
      </w:pPr>
      <w:r>
        <w:t>7. Visit Assessment Matrix</w:t>
      </w:r>
    </w:p>
    <w:p w14:paraId="6E54B784" w14:textId="77777777" w:rsidR="00FC39D9" w:rsidRDefault="00000000">
      <w:pPr>
        <w:spacing w:after="160" w:line="276" w:lineRule="auto"/>
      </w:pPr>
      <w:r>
        <w:t>This matrix is the kind of reference a coordinator keeps open on a second monitor during a patient visit. It summarizes purpose, assessments, laboratory activity, IP actions, source documentation, and the staff role typically responsible, visit by visit, based on the INITIATE-PAH Schedule of Assessments.</w:t>
      </w:r>
    </w:p>
    <w:tbl>
      <w:tblPr>
        <w:tblW w:w="10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1552"/>
        <w:gridCol w:w="1422"/>
        <w:gridCol w:w="1429"/>
        <w:gridCol w:w="1638"/>
        <w:gridCol w:w="1331"/>
        <w:gridCol w:w="1351"/>
        <w:gridCol w:w="1277"/>
      </w:tblGrid>
      <w:tr w:rsidR="00FC39D9" w14:paraId="57C5569B" w14:textId="77777777">
        <w:tblPrEx>
          <w:tblCellMar>
            <w:top w:w="0" w:type="dxa"/>
            <w:bottom w:w="0" w:type="dxa"/>
          </w:tblCellMar>
        </w:tblPrEx>
        <w:trPr>
          <w:tblHeader/>
        </w:trPr>
        <w:tc>
          <w:tcPr>
            <w:tcW w:w="1050" w:type="dxa"/>
            <w:shd w:val="clear" w:color="auto" w:fill="44546A"/>
            <w:tcMar>
              <w:top w:w="80" w:type="dxa"/>
              <w:left w:w="100" w:type="dxa"/>
              <w:bottom w:w="80" w:type="dxa"/>
              <w:right w:w="100" w:type="dxa"/>
            </w:tcMar>
            <w:vAlign w:val="center"/>
          </w:tcPr>
          <w:p w14:paraId="43113C90" w14:textId="77777777" w:rsidR="00FC39D9" w:rsidRDefault="00000000">
            <w:r>
              <w:rPr>
                <w:b/>
                <w:bCs/>
                <w:color w:val="FFFFFF"/>
                <w:sz w:val="19"/>
                <w:szCs w:val="19"/>
              </w:rPr>
              <w:t>Visit</w:t>
            </w:r>
          </w:p>
        </w:tc>
        <w:tc>
          <w:tcPr>
            <w:tcW w:w="1550" w:type="dxa"/>
            <w:shd w:val="clear" w:color="auto" w:fill="44546A"/>
            <w:tcMar>
              <w:top w:w="80" w:type="dxa"/>
              <w:left w:w="100" w:type="dxa"/>
              <w:bottom w:w="80" w:type="dxa"/>
              <w:right w:w="100" w:type="dxa"/>
            </w:tcMar>
            <w:vAlign w:val="center"/>
          </w:tcPr>
          <w:p w14:paraId="074D32AA" w14:textId="77777777" w:rsidR="00FC39D9" w:rsidRDefault="00000000">
            <w:r>
              <w:rPr>
                <w:b/>
                <w:bCs/>
                <w:color w:val="FFFFFF"/>
                <w:sz w:val="19"/>
                <w:szCs w:val="19"/>
              </w:rPr>
              <w:t>Purpose</w:t>
            </w:r>
          </w:p>
        </w:tc>
        <w:tc>
          <w:tcPr>
            <w:tcW w:w="2050" w:type="dxa"/>
            <w:shd w:val="clear" w:color="auto" w:fill="44546A"/>
            <w:tcMar>
              <w:top w:w="80" w:type="dxa"/>
              <w:left w:w="100" w:type="dxa"/>
              <w:bottom w:w="80" w:type="dxa"/>
              <w:right w:w="100" w:type="dxa"/>
            </w:tcMar>
            <w:vAlign w:val="center"/>
          </w:tcPr>
          <w:p w14:paraId="379D48C6" w14:textId="77777777" w:rsidR="00FC39D9" w:rsidRDefault="00000000">
            <w:r>
              <w:rPr>
                <w:b/>
                <w:bCs/>
                <w:color w:val="FFFFFF"/>
                <w:sz w:val="19"/>
                <w:szCs w:val="19"/>
              </w:rPr>
              <w:t>Assessments</w:t>
            </w:r>
          </w:p>
        </w:tc>
        <w:tc>
          <w:tcPr>
            <w:tcW w:w="1300" w:type="dxa"/>
            <w:shd w:val="clear" w:color="auto" w:fill="44546A"/>
            <w:tcMar>
              <w:top w:w="80" w:type="dxa"/>
              <w:left w:w="100" w:type="dxa"/>
              <w:bottom w:w="80" w:type="dxa"/>
              <w:right w:w="100" w:type="dxa"/>
            </w:tcMar>
            <w:vAlign w:val="center"/>
          </w:tcPr>
          <w:p w14:paraId="27FDA36E" w14:textId="77777777" w:rsidR="00FC39D9" w:rsidRDefault="00000000">
            <w:r>
              <w:rPr>
                <w:b/>
                <w:bCs/>
                <w:color w:val="FFFFFF"/>
                <w:sz w:val="19"/>
                <w:szCs w:val="19"/>
              </w:rPr>
              <w:t>Laboratory</w:t>
            </w:r>
          </w:p>
        </w:tc>
        <w:tc>
          <w:tcPr>
            <w:tcW w:w="1300" w:type="dxa"/>
            <w:shd w:val="clear" w:color="auto" w:fill="44546A"/>
            <w:tcMar>
              <w:top w:w="80" w:type="dxa"/>
              <w:left w:w="100" w:type="dxa"/>
              <w:bottom w:w="80" w:type="dxa"/>
              <w:right w:w="100" w:type="dxa"/>
            </w:tcMar>
            <w:vAlign w:val="center"/>
          </w:tcPr>
          <w:p w14:paraId="48738216" w14:textId="77777777" w:rsidR="00FC39D9" w:rsidRDefault="00000000">
            <w:r>
              <w:rPr>
                <w:b/>
                <w:bCs/>
                <w:color w:val="FFFFFF"/>
                <w:sz w:val="19"/>
                <w:szCs w:val="19"/>
              </w:rPr>
              <w:t>IP Activity</w:t>
            </w:r>
          </w:p>
        </w:tc>
        <w:tc>
          <w:tcPr>
            <w:tcW w:w="1550" w:type="dxa"/>
            <w:shd w:val="clear" w:color="auto" w:fill="44546A"/>
            <w:tcMar>
              <w:top w:w="80" w:type="dxa"/>
              <w:left w:w="100" w:type="dxa"/>
              <w:bottom w:w="80" w:type="dxa"/>
              <w:right w:w="100" w:type="dxa"/>
            </w:tcMar>
            <w:vAlign w:val="center"/>
          </w:tcPr>
          <w:p w14:paraId="125258A4" w14:textId="77777777" w:rsidR="00FC39D9" w:rsidRDefault="00000000">
            <w:r>
              <w:rPr>
                <w:b/>
                <w:bCs/>
                <w:color w:val="FFFFFF"/>
                <w:sz w:val="19"/>
                <w:szCs w:val="19"/>
              </w:rPr>
              <w:t>Source Documents</w:t>
            </w:r>
          </w:p>
        </w:tc>
        <w:tc>
          <w:tcPr>
            <w:tcW w:w="1200" w:type="dxa"/>
            <w:shd w:val="clear" w:color="auto" w:fill="44546A"/>
            <w:tcMar>
              <w:top w:w="80" w:type="dxa"/>
              <w:left w:w="100" w:type="dxa"/>
              <w:bottom w:w="80" w:type="dxa"/>
              <w:right w:w="100" w:type="dxa"/>
            </w:tcMar>
            <w:vAlign w:val="center"/>
          </w:tcPr>
          <w:p w14:paraId="7C1F4C76" w14:textId="77777777" w:rsidR="00FC39D9" w:rsidRDefault="00000000">
            <w:r>
              <w:rPr>
                <w:b/>
                <w:bCs/>
                <w:color w:val="FFFFFF"/>
                <w:sz w:val="19"/>
                <w:szCs w:val="19"/>
              </w:rPr>
              <w:t>Responsible Staff</w:t>
            </w:r>
          </w:p>
        </w:tc>
      </w:tr>
      <w:tr w:rsidR="00FC39D9" w14:paraId="52AA1488" w14:textId="77777777">
        <w:tblPrEx>
          <w:tblCellMar>
            <w:top w:w="0" w:type="dxa"/>
            <w:bottom w:w="0" w:type="dxa"/>
          </w:tblCellMar>
        </w:tblPrEx>
        <w:tc>
          <w:tcPr>
            <w:tcW w:w="1050" w:type="dxa"/>
            <w:shd w:val="clear" w:color="auto" w:fill="FFFFFF"/>
            <w:tcMar>
              <w:top w:w="80" w:type="dxa"/>
              <w:left w:w="100" w:type="dxa"/>
              <w:bottom w:w="80" w:type="dxa"/>
              <w:right w:w="100" w:type="dxa"/>
            </w:tcMar>
            <w:vAlign w:val="center"/>
          </w:tcPr>
          <w:p w14:paraId="48986F5F" w14:textId="77777777" w:rsidR="00FC39D9" w:rsidRDefault="00000000">
            <w:r>
              <w:rPr>
                <w:sz w:val="19"/>
                <w:szCs w:val="19"/>
              </w:rPr>
              <w:t>Screening (Day −28 to −1)</w:t>
            </w:r>
          </w:p>
        </w:tc>
        <w:tc>
          <w:tcPr>
            <w:tcW w:w="1550" w:type="dxa"/>
            <w:shd w:val="clear" w:color="auto" w:fill="FFFFFF"/>
            <w:tcMar>
              <w:top w:w="80" w:type="dxa"/>
              <w:left w:w="100" w:type="dxa"/>
              <w:bottom w:w="80" w:type="dxa"/>
              <w:right w:w="100" w:type="dxa"/>
            </w:tcMar>
            <w:vAlign w:val="center"/>
          </w:tcPr>
          <w:p w14:paraId="1AF55B0B" w14:textId="77777777" w:rsidR="00FC39D9" w:rsidRDefault="00000000">
            <w:r>
              <w:rPr>
                <w:sz w:val="19"/>
                <w:szCs w:val="19"/>
              </w:rPr>
              <w:t>Confirm eligibility</w:t>
            </w:r>
          </w:p>
        </w:tc>
        <w:tc>
          <w:tcPr>
            <w:tcW w:w="2050" w:type="dxa"/>
            <w:shd w:val="clear" w:color="auto" w:fill="FFFFFF"/>
            <w:tcMar>
              <w:top w:w="80" w:type="dxa"/>
              <w:left w:w="100" w:type="dxa"/>
              <w:bottom w:w="80" w:type="dxa"/>
              <w:right w:w="100" w:type="dxa"/>
            </w:tcMar>
            <w:vAlign w:val="center"/>
          </w:tcPr>
          <w:p w14:paraId="51B26C11" w14:textId="77777777" w:rsidR="00FC39D9" w:rsidRDefault="00000000">
            <w:r>
              <w:rPr>
                <w:sz w:val="19"/>
                <w:szCs w:val="19"/>
              </w:rPr>
              <w:t xml:space="preserve">Med. history, physical exam, vitals, WHO </w:t>
            </w:r>
            <w:r>
              <w:rPr>
                <w:sz w:val="19"/>
                <w:szCs w:val="19"/>
              </w:rPr>
              <w:lastRenderedPageBreak/>
              <w:t>FC, 6MWD/Borg, RHC</w:t>
            </w:r>
          </w:p>
        </w:tc>
        <w:tc>
          <w:tcPr>
            <w:tcW w:w="1300" w:type="dxa"/>
            <w:shd w:val="clear" w:color="auto" w:fill="FFFFFF"/>
            <w:tcMar>
              <w:top w:w="80" w:type="dxa"/>
              <w:left w:w="100" w:type="dxa"/>
              <w:bottom w:w="80" w:type="dxa"/>
              <w:right w:w="100" w:type="dxa"/>
            </w:tcMar>
            <w:vAlign w:val="center"/>
          </w:tcPr>
          <w:p w14:paraId="44E8B56C" w14:textId="77777777" w:rsidR="00FC39D9" w:rsidRDefault="00000000">
            <w:r>
              <w:rPr>
                <w:sz w:val="19"/>
                <w:szCs w:val="19"/>
              </w:rPr>
              <w:lastRenderedPageBreak/>
              <w:t>Central labs, serum pregnancy (WOCBP)</w:t>
            </w:r>
          </w:p>
        </w:tc>
        <w:tc>
          <w:tcPr>
            <w:tcW w:w="1300" w:type="dxa"/>
            <w:shd w:val="clear" w:color="auto" w:fill="FFFFFF"/>
            <w:tcMar>
              <w:top w:w="80" w:type="dxa"/>
              <w:left w:w="100" w:type="dxa"/>
              <w:bottom w:w="80" w:type="dxa"/>
              <w:right w:w="100" w:type="dxa"/>
            </w:tcMar>
            <w:vAlign w:val="center"/>
          </w:tcPr>
          <w:p w14:paraId="2E84C3A2" w14:textId="77777777" w:rsidR="00FC39D9" w:rsidRDefault="00000000">
            <w:r>
              <w:rPr>
                <w:sz w:val="19"/>
                <w:szCs w:val="19"/>
              </w:rPr>
              <w:t>None</w:t>
            </w:r>
          </w:p>
        </w:tc>
        <w:tc>
          <w:tcPr>
            <w:tcW w:w="1550" w:type="dxa"/>
            <w:shd w:val="clear" w:color="auto" w:fill="FFFFFF"/>
            <w:tcMar>
              <w:top w:w="80" w:type="dxa"/>
              <w:left w:w="100" w:type="dxa"/>
              <w:bottom w:w="80" w:type="dxa"/>
              <w:right w:w="100" w:type="dxa"/>
            </w:tcMar>
            <w:vAlign w:val="center"/>
          </w:tcPr>
          <w:p w14:paraId="3651D7B2" w14:textId="77777777" w:rsidR="00FC39D9" w:rsidRDefault="00000000">
            <w:r>
              <w:rPr>
                <w:sz w:val="19"/>
                <w:szCs w:val="19"/>
              </w:rPr>
              <w:t xml:space="preserve">Eligibility checklist, </w:t>
            </w:r>
            <w:r>
              <w:rPr>
                <w:sz w:val="19"/>
                <w:szCs w:val="19"/>
              </w:rPr>
              <w:lastRenderedPageBreak/>
              <w:t>RHC report, ICF</w:t>
            </w:r>
          </w:p>
        </w:tc>
        <w:tc>
          <w:tcPr>
            <w:tcW w:w="1200" w:type="dxa"/>
            <w:shd w:val="clear" w:color="auto" w:fill="FFFFFF"/>
            <w:tcMar>
              <w:top w:w="80" w:type="dxa"/>
              <w:left w:w="100" w:type="dxa"/>
              <w:bottom w:w="80" w:type="dxa"/>
              <w:right w:w="100" w:type="dxa"/>
            </w:tcMar>
            <w:vAlign w:val="center"/>
          </w:tcPr>
          <w:p w14:paraId="7CCCAA31" w14:textId="77777777" w:rsidR="00FC39D9" w:rsidRDefault="00000000">
            <w:r>
              <w:rPr>
                <w:sz w:val="19"/>
                <w:szCs w:val="19"/>
              </w:rPr>
              <w:lastRenderedPageBreak/>
              <w:t>PI/Sub-I, Research Nurse</w:t>
            </w:r>
          </w:p>
        </w:tc>
      </w:tr>
      <w:tr w:rsidR="00FC39D9" w14:paraId="3DF0C9A9" w14:textId="77777777">
        <w:tblPrEx>
          <w:tblCellMar>
            <w:top w:w="0" w:type="dxa"/>
            <w:bottom w:w="0" w:type="dxa"/>
          </w:tblCellMar>
        </w:tblPrEx>
        <w:tc>
          <w:tcPr>
            <w:tcW w:w="1050" w:type="dxa"/>
            <w:shd w:val="clear" w:color="auto" w:fill="F2F2F2"/>
            <w:tcMar>
              <w:top w:w="80" w:type="dxa"/>
              <w:left w:w="100" w:type="dxa"/>
              <w:bottom w:w="80" w:type="dxa"/>
              <w:right w:w="100" w:type="dxa"/>
            </w:tcMar>
            <w:vAlign w:val="center"/>
          </w:tcPr>
          <w:p w14:paraId="61E293A0" w14:textId="77777777" w:rsidR="00FC39D9" w:rsidRDefault="00000000">
            <w:r>
              <w:rPr>
                <w:sz w:val="19"/>
                <w:szCs w:val="19"/>
              </w:rPr>
              <w:t>Day 1 (Randomization)</w:t>
            </w:r>
          </w:p>
        </w:tc>
        <w:tc>
          <w:tcPr>
            <w:tcW w:w="1550" w:type="dxa"/>
            <w:shd w:val="clear" w:color="auto" w:fill="F2F2F2"/>
            <w:tcMar>
              <w:top w:w="80" w:type="dxa"/>
              <w:left w:w="100" w:type="dxa"/>
              <w:bottom w:w="80" w:type="dxa"/>
              <w:right w:w="100" w:type="dxa"/>
            </w:tcMar>
            <w:vAlign w:val="center"/>
          </w:tcPr>
          <w:p w14:paraId="4C464262" w14:textId="77777777" w:rsidR="00FC39D9" w:rsidRDefault="00000000">
            <w:proofErr w:type="spellStart"/>
            <w:r>
              <w:rPr>
                <w:sz w:val="19"/>
                <w:szCs w:val="19"/>
              </w:rPr>
              <w:t>Enroll</w:t>
            </w:r>
            <w:proofErr w:type="spellEnd"/>
            <w:r>
              <w:rPr>
                <w:sz w:val="19"/>
                <w:szCs w:val="19"/>
              </w:rPr>
              <w:t xml:space="preserve"> and randomize</w:t>
            </w:r>
          </w:p>
        </w:tc>
        <w:tc>
          <w:tcPr>
            <w:tcW w:w="2050" w:type="dxa"/>
            <w:shd w:val="clear" w:color="auto" w:fill="F2F2F2"/>
            <w:tcMar>
              <w:top w:w="80" w:type="dxa"/>
              <w:left w:w="100" w:type="dxa"/>
              <w:bottom w:w="80" w:type="dxa"/>
              <w:right w:w="100" w:type="dxa"/>
            </w:tcMar>
            <w:vAlign w:val="center"/>
          </w:tcPr>
          <w:p w14:paraId="3E6D7A99" w14:textId="77777777" w:rsidR="00FC39D9" w:rsidRDefault="00000000">
            <w:r>
              <w:rPr>
                <w:sz w:val="19"/>
                <w:szCs w:val="19"/>
              </w:rPr>
              <w:t>Vitals, physical exam</w:t>
            </w:r>
          </w:p>
        </w:tc>
        <w:tc>
          <w:tcPr>
            <w:tcW w:w="1300" w:type="dxa"/>
            <w:shd w:val="clear" w:color="auto" w:fill="F2F2F2"/>
            <w:tcMar>
              <w:top w:w="80" w:type="dxa"/>
              <w:left w:w="100" w:type="dxa"/>
              <w:bottom w:w="80" w:type="dxa"/>
              <w:right w:w="100" w:type="dxa"/>
            </w:tcMar>
            <w:vAlign w:val="center"/>
          </w:tcPr>
          <w:p w14:paraId="090526FD" w14:textId="77777777" w:rsidR="00FC39D9" w:rsidRDefault="00000000">
            <w:r>
              <w:rPr>
                <w:sz w:val="19"/>
                <w:szCs w:val="19"/>
              </w:rPr>
              <w:t>Urine pregnancy (WOCBP)</w:t>
            </w:r>
          </w:p>
        </w:tc>
        <w:tc>
          <w:tcPr>
            <w:tcW w:w="1300" w:type="dxa"/>
            <w:shd w:val="clear" w:color="auto" w:fill="F2F2F2"/>
            <w:tcMar>
              <w:top w:w="80" w:type="dxa"/>
              <w:left w:w="100" w:type="dxa"/>
              <w:bottom w:w="80" w:type="dxa"/>
              <w:right w:w="100" w:type="dxa"/>
            </w:tcMar>
            <w:vAlign w:val="center"/>
          </w:tcPr>
          <w:p w14:paraId="25B55E80" w14:textId="77777777" w:rsidR="00FC39D9" w:rsidRDefault="00000000">
            <w:r>
              <w:rPr>
                <w:sz w:val="19"/>
                <w:szCs w:val="19"/>
              </w:rPr>
              <w:t>Randomize via IRT; dispense ERA-01, PDE5i-01</w:t>
            </w:r>
          </w:p>
        </w:tc>
        <w:tc>
          <w:tcPr>
            <w:tcW w:w="1550" w:type="dxa"/>
            <w:shd w:val="clear" w:color="auto" w:fill="F2F2F2"/>
            <w:tcMar>
              <w:top w:w="80" w:type="dxa"/>
              <w:left w:w="100" w:type="dxa"/>
              <w:bottom w:w="80" w:type="dxa"/>
              <w:right w:w="100" w:type="dxa"/>
            </w:tcMar>
            <w:vAlign w:val="center"/>
          </w:tcPr>
          <w:p w14:paraId="39F71CE2" w14:textId="77777777" w:rsidR="00FC39D9" w:rsidRDefault="00000000">
            <w:r>
              <w:rPr>
                <w:sz w:val="19"/>
                <w:szCs w:val="19"/>
              </w:rPr>
              <w:t>IRT confirmation, dispensing log</w:t>
            </w:r>
          </w:p>
        </w:tc>
        <w:tc>
          <w:tcPr>
            <w:tcW w:w="1200" w:type="dxa"/>
            <w:shd w:val="clear" w:color="auto" w:fill="F2F2F2"/>
            <w:tcMar>
              <w:top w:w="80" w:type="dxa"/>
              <w:left w:w="100" w:type="dxa"/>
              <w:bottom w:w="80" w:type="dxa"/>
              <w:right w:w="100" w:type="dxa"/>
            </w:tcMar>
            <w:vAlign w:val="center"/>
          </w:tcPr>
          <w:p w14:paraId="581BCF69" w14:textId="77777777" w:rsidR="00FC39D9" w:rsidRDefault="00000000">
            <w:r>
              <w:rPr>
                <w:sz w:val="19"/>
                <w:szCs w:val="19"/>
              </w:rPr>
              <w:t>PI/Sub-I, Coordinator, Pharmacist</w:t>
            </w:r>
          </w:p>
        </w:tc>
      </w:tr>
      <w:tr w:rsidR="00FC39D9" w14:paraId="518EB675" w14:textId="77777777">
        <w:tblPrEx>
          <w:tblCellMar>
            <w:top w:w="0" w:type="dxa"/>
            <w:bottom w:w="0" w:type="dxa"/>
          </w:tblCellMar>
        </w:tblPrEx>
        <w:tc>
          <w:tcPr>
            <w:tcW w:w="1050" w:type="dxa"/>
            <w:shd w:val="clear" w:color="auto" w:fill="FFFFFF"/>
            <w:tcMar>
              <w:top w:w="80" w:type="dxa"/>
              <w:left w:w="100" w:type="dxa"/>
              <w:bottom w:w="80" w:type="dxa"/>
              <w:right w:w="100" w:type="dxa"/>
            </w:tcMar>
            <w:vAlign w:val="center"/>
          </w:tcPr>
          <w:p w14:paraId="59751C0E" w14:textId="77777777" w:rsidR="00FC39D9" w:rsidRDefault="00000000">
            <w:r>
              <w:rPr>
                <w:sz w:val="19"/>
                <w:szCs w:val="19"/>
              </w:rPr>
              <w:t>Day 8</w:t>
            </w:r>
          </w:p>
        </w:tc>
        <w:tc>
          <w:tcPr>
            <w:tcW w:w="1550" w:type="dxa"/>
            <w:shd w:val="clear" w:color="auto" w:fill="FFFFFF"/>
            <w:tcMar>
              <w:top w:w="80" w:type="dxa"/>
              <w:left w:w="100" w:type="dxa"/>
              <w:bottom w:w="80" w:type="dxa"/>
              <w:right w:w="100" w:type="dxa"/>
            </w:tcMar>
            <w:vAlign w:val="center"/>
          </w:tcPr>
          <w:p w14:paraId="7CC21FBF" w14:textId="77777777" w:rsidR="00FC39D9" w:rsidRDefault="00000000">
            <w:r>
              <w:rPr>
                <w:sz w:val="19"/>
                <w:szCs w:val="19"/>
              </w:rPr>
              <w:t>Early safety check</w:t>
            </w:r>
          </w:p>
        </w:tc>
        <w:tc>
          <w:tcPr>
            <w:tcW w:w="2050" w:type="dxa"/>
            <w:shd w:val="clear" w:color="auto" w:fill="FFFFFF"/>
            <w:tcMar>
              <w:top w:w="80" w:type="dxa"/>
              <w:left w:w="100" w:type="dxa"/>
              <w:bottom w:w="80" w:type="dxa"/>
              <w:right w:w="100" w:type="dxa"/>
            </w:tcMar>
            <w:vAlign w:val="center"/>
          </w:tcPr>
          <w:p w14:paraId="3E48DA59" w14:textId="77777777" w:rsidR="00FC39D9" w:rsidRDefault="00000000">
            <w:r>
              <w:rPr>
                <w:sz w:val="19"/>
                <w:szCs w:val="19"/>
              </w:rPr>
              <w:t>AE review, concomitant meds</w:t>
            </w:r>
          </w:p>
        </w:tc>
        <w:tc>
          <w:tcPr>
            <w:tcW w:w="1300" w:type="dxa"/>
            <w:shd w:val="clear" w:color="auto" w:fill="FFFFFF"/>
            <w:tcMar>
              <w:top w:w="80" w:type="dxa"/>
              <w:left w:w="100" w:type="dxa"/>
              <w:bottom w:w="80" w:type="dxa"/>
              <w:right w:w="100" w:type="dxa"/>
            </w:tcMar>
            <w:vAlign w:val="center"/>
          </w:tcPr>
          <w:p w14:paraId="0BED5AD5" w14:textId="77777777" w:rsidR="00FC39D9" w:rsidRDefault="00000000">
            <w:r>
              <w:rPr>
                <w:sz w:val="19"/>
                <w:szCs w:val="19"/>
              </w:rPr>
              <w:t>None routine</w:t>
            </w:r>
          </w:p>
        </w:tc>
        <w:tc>
          <w:tcPr>
            <w:tcW w:w="1300" w:type="dxa"/>
            <w:shd w:val="clear" w:color="auto" w:fill="FFFFFF"/>
            <w:tcMar>
              <w:top w:w="80" w:type="dxa"/>
              <w:left w:w="100" w:type="dxa"/>
              <w:bottom w:w="80" w:type="dxa"/>
              <w:right w:w="100" w:type="dxa"/>
            </w:tcMar>
            <w:vAlign w:val="center"/>
          </w:tcPr>
          <w:p w14:paraId="2BC25055" w14:textId="77777777" w:rsidR="00FC39D9" w:rsidRDefault="00000000">
            <w:r>
              <w:rPr>
                <w:sz w:val="19"/>
                <w:szCs w:val="19"/>
              </w:rPr>
              <w:t>Compliance check</w:t>
            </w:r>
          </w:p>
        </w:tc>
        <w:tc>
          <w:tcPr>
            <w:tcW w:w="1550" w:type="dxa"/>
            <w:shd w:val="clear" w:color="auto" w:fill="FFFFFF"/>
            <w:tcMar>
              <w:top w:w="80" w:type="dxa"/>
              <w:left w:w="100" w:type="dxa"/>
              <w:bottom w:w="80" w:type="dxa"/>
              <w:right w:w="100" w:type="dxa"/>
            </w:tcMar>
            <w:vAlign w:val="center"/>
          </w:tcPr>
          <w:p w14:paraId="58909422" w14:textId="77777777" w:rsidR="00FC39D9" w:rsidRDefault="00000000">
            <w:r>
              <w:rPr>
                <w:sz w:val="19"/>
                <w:szCs w:val="19"/>
              </w:rPr>
              <w:t>Visit/phone note</w:t>
            </w:r>
          </w:p>
        </w:tc>
        <w:tc>
          <w:tcPr>
            <w:tcW w:w="1200" w:type="dxa"/>
            <w:shd w:val="clear" w:color="auto" w:fill="FFFFFF"/>
            <w:tcMar>
              <w:top w:w="80" w:type="dxa"/>
              <w:left w:w="100" w:type="dxa"/>
              <w:bottom w:w="80" w:type="dxa"/>
              <w:right w:w="100" w:type="dxa"/>
            </w:tcMar>
            <w:vAlign w:val="center"/>
          </w:tcPr>
          <w:p w14:paraId="3D8FD297" w14:textId="77777777" w:rsidR="00FC39D9" w:rsidRDefault="00000000">
            <w:r>
              <w:rPr>
                <w:sz w:val="19"/>
                <w:szCs w:val="19"/>
              </w:rPr>
              <w:t>Coordinator</w:t>
            </w:r>
          </w:p>
        </w:tc>
      </w:tr>
      <w:tr w:rsidR="00FC39D9" w14:paraId="58B8FE18" w14:textId="77777777">
        <w:tblPrEx>
          <w:tblCellMar>
            <w:top w:w="0" w:type="dxa"/>
            <w:bottom w:w="0" w:type="dxa"/>
          </w:tblCellMar>
        </w:tblPrEx>
        <w:tc>
          <w:tcPr>
            <w:tcW w:w="1050" w:type="dxa"/>
            <w:shd w:val="clear" w:color="auto" w:fill="F2F2F2"/>
            <w:tcMar>
              <w:top w:w="80" w:type="dxa"/>
              <w:left w:w="100" w:type="dxa"/>
              <w:bottom w:w="80" w:type="dxa"/>
              <w:right w:w="100" w:type="dxa"/>
            </w:tcMar>
            <w:vAlign w:val="center"/>
          </w:tcPr>
          <w:p w14:paraId="6AFA8AE8" w14:textId="77777777" w:rsidR="00FC39D9" w:rsidRDefault="00000000">
            <w:r>
              <w:rPr>
                <w:sz w:val="19"/>
                <w:szCs w:val="19"/>
              </w:rPr>
              <w:t>Day 15</w:t>
            </w:r>
          </w:p>
        </w:tc>
        <w:tc>
          <w:tcPr>
            <w:tcW w:w="1550" w:type="dxa"/>
            <w:shd w:val="clear" w:color="auto" w:fill="F2F2F2"/>
            <w:tcMar>
              <w:top w:w="80" w:type="dxa"/>
              <w:left w:w="100" w:type="dxa"/>
              <w:bottom w:w="80" w:type="dxa"/>
              <w:right w:w="100" w:type="dxa"/>
            </w:tcMar>
            <w:vAlign w:val="center"/>
          </w:tcPr>
          <w:p w14:paraId="28AFCF68" w14:textId="77777777" w:rsidR="00FC39D9" w:rsidRDefault="00000000">
            <w:r>
              <w:rPr>
                <w:sz w:val="19"/>
                <w:szCs w:val="19"/>
              </w:rPr>
              <w:t>Start blinded IP</w:t>
            </w:r>
          </w:p>
        </w:tc>
        <w:tc>
          <w:tcPr>
            <w:tcW w:w="2050" w:type="dxa"/>
            <w:shd w:val="clear" w:color="auto" w:fill="F2F2F2"/>
            <w:tcMar>
              <w:top w:w="80" w:type="dxa"/>
              <w:left w:w="100" w:type="dxa"/>
              <w:bottom w:w="80" w:type="dxa"/>
              <w:right w:w="100" w:type="dxa"/>
            </w:tcMar>
            <w:vAlign w:val="center"/>
          </w:tcPr>
          <w:p w14:paraId="7BB49C9F" w14:textId="77777777" w:rsidR="00FC39D9" w:rsidRDefault="00000000">
            <w:r>
              <w:rPr>
                <w:sz w:val="19"/>
                <w:szCs w:val="19"/>
              </w:rPr>
              <w:t>AE review, tolerability</w:t>
            </w:r>
          </w:p>
        </w:tc>
        <w:tc>
          <w:tcPr>
            <w:tcW w:w="1300" w:type="dxa"/>
            <w:shd w:val="clear" w:color="auto" w:fill="F2F2F2"/>
            <w:tcMar>
              <w:top w:w="80" w:type="dxa"/>
              <w:left w:w="100" w:type="dxa"/>
              <w:bottom w:w="80" w:type="dxa"/>
              <w:right w:w="100" w:type="dxa"/>
            </w:tcMar>
            <w:vAlign w:val="center"/>
          </w:tcPr>
          <w:p w14:paraId="5AE989C7" w14:textId="77777777" w:rsidR="00FC39D9" w:rsidRDefault="00000000">
            <w:r>
              <w:rPr>
                <w:sz w:val="19"/>
                <w:szCs w:val="19"/>
              </w:rPr>
              <w:t>None routine</w:t>
            </w:r>
          </w:p>
        </w:tc>
        <w:tc>
          <w:tcPr>
            <w:tcW w:w="1300" w:type="dxa"/>
            <w:shd w:val="clear" w:color="auto" w:fill="F2F2F2"/>
            <w:tcMar>
              <w:top w:w="80" w:type="dxa"/>
              <w:left w:w="100" w:type="dxa"/>
              <w:bottom w:w="80" w:type="dxa"/>
              <w:right w:w="100" w:type="dxa"/>
            </w:tcMar>
            <w:vAlign w:val="center"/>
          </w:tcPr>
          <w:p w14:paraId="4C57879C" w14:textId="77777777" w:rsidR="00FC39D9" w:rsidRDefault="00000000">
            <w:r>
              <w:rPr>
                <w:sz w:val="19"/>
                <w:szCs w:val="19"/>
              </w:rPr>
              <w:t>Dispense IPRA-01/placebo; begin titration</w:t>
            </w:r>
          </w:p>
        </w:tc>
        <w:tc>
          <w:tcPr>
            <w:tcW w:w="1550" w:type="dxa"/>
            <w:shd w:val="clear" w:color="auto" w:fill="F2F2F2"/>
            <w:tcMar>
              <w:top w:w="80" w:type="dxa"/>
              <w:left w:w="100" w:type="dxa"/>
              <w:bottom w:w="80" w:type="dxa"/>
              <w:right w:w="100" w:type="dxa"/>
            </w:tcMar>
            <w:vAlign w:val="center"/>
          </w:tcPr>
          <w:p w14:paraId="54FA503A" w14:textId="77777777" w:rsidR="00FC39D9" w:rsidRDefault="00000000">
            <w:r>
              <w:rPr>
                <w:sz w:val="19"/>
                <w:szCs w:val="19"/>
              </w:rPr>
              <w:t>Dispensing log, titration record</w:t>
            </w:r>
          </w:p>
        </w:tc>
        <w:tc>
          <w:tcPr>
            <w:tcW w:w="1200" w:type="dxa"/>
            <w:shd w:val="clear" w:color="auto" w:fill="F2F2F2"/>
            <w:tcMar>
              <w:top w:w="80" w:type="dxa"/>
              <w:left w:w="100" w:type="dxa"/>
              <w:bottom w:w="80" w:type="dxa"/>
              <w:right w:w="100" w:type="dxa"/>
            </w:tcMar>
            <w:vAlign w:val="center"/>
          </w:tcPr>
          <w:p w14:paraId="21E491C5" w14:textId="77777777" w:rsidR="00FC39D9" w:rsidRDefault="00000000">
            <w:r>
              <w:rPr>
                <w:sz w:val="19"/>
                <w:szCs w:val="19"/>
              </w:rPr>
              <w:t>Coordinator, Pharmacist</w:t>
            </w:r>
          </w:p>
        </w:tc>
      </w:tr>
      <w:tr w:rsidR="00FC39D9" w14:paraId="17BBDE73" w14:textId="77777777">
        <w:tblPrEx>
          <w:tblCellMar>
            <w:top w:w="0" w:type="dxa"/>
            <w:bottom w:w="0" w:type="dxa"/>
          </w:tblCellMar>
        </w:tblPrEx>
        <w:tc>
          <w:tcPr>
            <w:tcW w:w="1050" w:type="dxa"/>
            <w:shd w:val="clear" w:color="auto" w:fill="FFFFFF"/>
            <w:tcMar>
              <w:top w:w="80" w:type="dxa"/>
              <w:left w:w="100" w:type="dxa"/>
              <w:bottom w:w="80" w:type="dxa"/>
              <w:right w:w="100" w:type="dxa"/>
            </w:tcMar>
            <w:vAlign w:val="center"/>
          </w:tcPr>
          <w:p w14:paraId="4BF8BC27" w14:textId="77777777" w:rsidR="00FC39D9" w:rsidRDefault="00000000">
            <w:r>
              <w:rPr>
                <w:sz w:val="19"/>
                <w:szCs w:val="19"/>
              </w:rPr>
              <w:t>Weekly Calls (to Week 12)</w:t>
            </w:r>
          </w:p>
        </w:tc>
        <w:tc>
          <w:tcPr>
            <w:tcW w:w="1550" w:type="dxa"/>
            <w:shd w:val="clear" w:color="auto" w:fill="FFFFFF"/>
            <w:tcMar>
              <w:top w:w="80" w:type="dxa"/>
              <w:left w:w="100" w:type="dxa"/>
              <w:bottom w:w="80" w:type="dxa"/>
              <w:right w:w="100" w:type="dxa"/>
            </w:tcMar>
            <w:vAlign w:val="center"/>
          </w:tcPr>
          <w:p w14:paraId="2057116A" w14:textId="77777777" w:rsidR="00FC39D9" w:rsidRDefault="00000000">
            <w:r>
              <w:rPr>
                <w:sz w:val="19"/>
                <w:szCs w:val="19"/>
              </w:rPr>
              <w:t>Guide titration, monitor AEs</w:t>
            </w:r>
          </w:p>
        </w:tc>
        <w:tc>
          <w:tcPr>
            <w:tcW w:w="2050" w:type="dxa"/>
            <w:shd w:val="clear" w:color="auto" w:fill="FFFFFF"/>
            <w:tcMar>
              <w:top w:w="80" w:type="dxa"/>
              <w:left w:w="100" w:type="dxa"/>
              <w:bottom w:w="80" w:type="dxa"/>
              <w:right w:w="100" w:type="dxa"/>
            </w:tcMar>
            <w:vAlign w:val="center"/>
          </w:tcPr>
          <w:p w14:paraId="4743E2E7" w14:textId="77777777" w:rsidR="00FC39D9" w:rsidRDefault="00000000">
            <w:r>
              <w:rPr>
                <w:sz w:val="19"/>
                <w:szCs w:val="19"/>
              </w:rPr>
              <w:t>Tolerability review</w:t>
            </w:r>
          </w:p>
        </w:tc>
        <w:tc>
          <w:tcPr>
            <w:tcW w:w="1300" w:type="dxa"/>
            <w:shd w:val="clear" w:color="auto" w:fill="FFFFFF"/>
            <w:tcMar>
              <w:top w:w="80" w:type="dxa"/>
              <w:left w:w="100" w:type="dxa"/>
              <w:bottom w:w="80" w:type="dxa"/>
              <w:right w:w="100" w:type="dxa"/>
            </w:tcMar>
            <w:vAlign w:val="center"/>
          </w:tcPr>
          <w:p w14:paraId="12649821" w14:textId="77777777" w:rsidR="00FC39D9" w:rsidRDefault="00000000">
            <w:r>
              <w:rPr>
                <w:sz w:val="19"/>
                <w:szCs w:val="19"/>
              </w:rPr>
              <w:t>None routine</w:t>
            </w:r>
          </w:p>
        </w:tc>
        <w:tc>
          <w:tcPr>
            <w:tcW w:w="1300" w:type="dxa"/>
            <w:shd w:val="clear" w:color="auto" w:fill="FFFFFF"/>
            <w:tcMar>
              <w:top w:w="80" w:type="dxa"/>
              <w:left w:w="100" w:type="dxa"/>
              <w:bottom w:w="80" w:type="dxa"/>
              <w:right w:w="100" w:type="dxa"/>
            </w:tcMar>
            <w:vAlign w:val="center"/>
          </w:tcPr>
          <w:p w14:paraId="382CE628" w14:textId="77777777" w:rsidR="00FC39D9" w:rsidRDefault="00000000">
            <w:r>
              <w:rPr>
                <w:sz w:val="19"/>
                <w:szCs w:val="19"/>
              </w:rPr>
              <w:t>Titration step confirmed via IRT</w:t>
            </w:r>
          </w:p>
        </w:tc>
        <w:tc>
          <w:tcPr>
            <w:tcW w:w="1550" w:type="dxa"/>
            <w:shd w:val="clear" w:color="auto" w:fill="FFFFFF"/>
            <w:tcMar>
              <w:top w:w="80" w:type="dxa"/>
              <w:left w:w="100" w:type="dxa"/>
              <w:bottom w:w="80" w:type="dxa"/>
              <w:right w:w="100" w:type="dxa"/>
            </w:tcMar>
            <w:vAlign w:val="center"/>
          </w:tcPr>
          <w:p w14:paraId="2D8660E7" w14:textId="77777777" w:rsidR="00FC39D9" w:rsidRDefault="00000000">
            <w:r>
              <w:rPr>
                <w:sz w:val="19"/>
                <w:szCs w:val="19"/>
              </w:rPr>
              <w:t>Phone call log</w:t>
            </w:r>
          </w:p>
        </w:tc>
        <w:tc>
          <w:tcPr>
            <w:tcW w:w="1200" w:type="dxa"/>
            <w:shd w:val="clear" w:color="auto" w:fill="FFFFFF"/>
            <w:tcMar>
              <w:top w:w="80" w:type="dxa"/>
              <w:left w:w="100" w:type="dxa"/>
              <w:bottom w:w="80" w:type="dxa"/>
              <w:right w:w="100" w:type="dxa"/>
            </w:tcMar>
            <w:vAlign w:val="center"/>
          </w:tcPr>
          <w:p w14:paraId="174045A1" w14:textId="77777777" w:rsidR="00FC39D9" w:rsidRDefault="00000000">
            <w:r>
              <w:rPr>
                <w:sz w:val="19"/>
                <w:szCs w:val="19"/>
              </w:rPr>
              <w:t>Coordinator</w:t>
            </w:r>
          </w:p>
        </w:tc>
      </w:tr>
      <w:tr w:rsidR="00FC39D9" w14:paraId="1FB3135B" w14:textId="77777777">
        <w:tblPrEx>
          <w:tblCellMar>
            <w:top w:w="0" w:type="dxa"/>
            <w:bottom w:w="0" w:type="dxa"/>
          </w:tblCellMar>
        </w:tblPrEx>
        <w:tc>
          <w:tcPr>
            <w:tcW w:w="1050" w:type="dxa"/>
            <w:shd w:val="clear" w:color="auto" w:fill="F2F2F2"/>
            <w:tcMar>
              <w:top w:w="80" w:type="dxa"/>
              <w:left w:w="100" w:type="dxa"/>
              <w:bottom w:w="80" w:type="dxa"/>
              <w:right w:w="100" w:type="dxa"/>
            </w:tcMar>
            <w:vAlign w:val="center"/>
          </w:tcPr>
          <w:p w14:paraId="1D5194A8" w14:textId="77777777" w:rsidR="00FC39D9" w:rsidRDefault="00000000">
            <w:r>
              <w:rPr>
                <w:sz w:val="19"/>
                <w:szCs w:val="19"/>
              </w:rPr>
              <w:t>Week 12</w:t>
            </w:r>
          </w:p>
        </w:tc>
        <w:tc>
          <w:tcPr>
            <w:tcW w:w="1550" w:type="dxa"/>
            <w:shd w:val="clear" w:color="auto" w:fill="F2F2F2"/>
            <w:tcMar>
              <w:top w:w="80" w:type="dxa"/>
              <w:left w:w="100" w:type="dxa"/>
              <w:bottom w:w="80" w:type="dxa"/>
              <w:right w:w="100" w:type="dxa"/>
            </w:tcMar>
            <w:vAlign w:val="center"/>
          </w:tcPr>
          <w:p w14:paraId="5DC0B151" w14:textId="77777777" w:rsidR="00FC39D9" w:rsidRDefault="00000000">
            <w:r>
              <w:rPr>
                <w:sz w:val="19"/>
                <w:szCs w:val="19"/>
              </w:rPr>
              <w:t>Interim efficacy/safety</w:t>
            </w:r>
          </w:p>
        </w:tc>
        <w:tc>
          <w:tcPr>
            <w:tcW w:w="2050" w:type="dxa"/>
            <w:shd w:val="clear" w:color="auto" w:fill="F2F2F2"/>
            <w:tcMar>
              <w:top w:w="80" w:type="dxa"/>
              <w:left w:w="100" w:type="dxa"/>
              <w:bottom w:w="80" w:type="dxa"/>
              <w:right w:w="100" w:type="dxa"/>
            </w:tcMar>
            <w:vAlign w:val="center"/>
          </w:tcPr>
          <w:p w14:paraId="445F6AC9" w14:textId="77777777" w:rsidR="00FC39D9" w:rsidRDefault="00000000">
            <w:r>
              <w:rPr>
                <w:sz w:val="19"/>
                <w:szCs w:val="19"/>
              </w:rPr>
              <w:t>Vitals, WHO FC, 6MWD/Borg, biomarkers</w:t>
            </w:r>
          </w:p>
        </w:tc>
        <w:tc>
          <w:tcPr>
            <w:tcW w:w="1300" w:type="dxa"/>
            <w:shd w:val="clear" w:color="auto" w:fill="F2F2F2"/>
            <w:tcMar>
              <w:top w:w="80" w:type="dxa"/>
              <w:left w:w="100" w:type="dxa"/>
              <w:bottom w:w="80" w:type="dxa"/>
              <w:right w:w="100" w:type="dxa"/>
            </w:tcMar>
            <w:vAlign w:val="center"/>
          </w:tcPr>
          <w:p w14:paraId="1B906C40" w14:textId="77777777" w:rsidR="00FC39D9" w:rsidRDefault="00000000">
            <w:r>
              <w:rPr>
                <w:sz w:val="19"/>
                <w:szCs w:val="19"/>
              </w:rPr>
              <w:t>Central labs, liver/</w:t>
            </w:r>
            <w:proofErr w:type="spellStart"/>
            <w:r>
              <w:rPr>
                <w:sz w:val="19"/>
                <w:szCs w:val="19"/>
              </w:rPr>
              <w:t>hemoglobin</w:t>
            </w:r>
            <w:proofErr w:type="spellEnd"/>
            <w:r>
              <w:rPr>
                <w:sz w:val="19"/>
                <w:szCs w:val="19"/>
              </w:rPr>
              <w:t>, pregnancy</w:t>
            </w:r>
          </w:p>
        </w:tc>
        <w:tc>
          <w:tcPr>
            <w:tcW w:w="1300" w:type="dxa"/>
            <w:shd w:val="clear" w:color="auto" w:fill="F2F2F2"/>
            <w:tcMar>
              <w:top w:w="80" w:type="dxa"/>
              <w:left w:w="100" w:type="dxa"/>
              <w:bottom w:w="80" w:type="dxa"/>
              <w:right w:w="100" w:type="dxa"/>
            </w:tcMar>
            <w:vAlign w:val="center"/>
          </w:tcPr>
          <w:p w14:paraId="0E9594D1" w14:textId="77777777" w:rsidR="00FC39D9" w:rsidRDefault="00000000">
            <w:r>
              <w:rPr>
                <w:sz w:val="19"/>
                <w:szCs w:val="19"/>
              </w:rPr>
              <w:t>IP dispensing and return</w:t>
            </w:r>
          </w:p>
        </w:tc>
        <w:tc>
          <w:tcPr>
            <w:tcW w:w="1550" w:type="dxa"/>
            <w:shd w:val="clear" w:color="auto" w:fill="F2F2F2"/>
            <w:tcMar>
              <w:top w:w="80" w:type="dxa"/>
              <w:left w:w="100" w:type="dxa"/>
              <w:bottom w:w="80" w:type="dxa"/>
              <w:right w:w="100" w:type="dxa"/>
            </w:tcMar>
            <w:vAlign w:val="center"/>
          </w:tcPr>
          <w:p w14:paraId="1B7AC6EE" w14:textId="77777777" w:rsidR="00FC39D9" w:rsidRDefault="00000000">
            <w:r>
              <w:rPr>
                <w:sz w:val="19"/>
                <w:szCs w:val="19"/>
              </w:rPr>
              <w:t>eCRF source, lab requisitions</w:t>
            </w:r>
          </w:p>
        </w:tc>
        <w:tc>
          <w:tcPr>
            <w:tcW w:w="1200" w:type="dxa"/>
            <w:shd w:val="clear" w:color="auto" w:fill="F2F2F2"/>
            <w:tcMar>
              <w:top w:w="80" w:type="dxa"/>
              <w:left w:w="100" w:type="dxa"/>
              <w:bottom w:w="80" w:type="dxa"/>
              <w:right w:w="100" w:type="dxa"/>
            </w:tcMar>
            <w:vAlign w:val="center"/>
          </w:tcPr>
          <w:p w14:paraId="502E6A5B" w14:textId="77777777" w:rsidR="00FC39D9" w:rsidRDefault="00000000">
            <w:r>
              <w:rPr>
                <w:sz w:val="19"/>
                <w:szCs w:val="19"/>
              </w:rPr>
              <w:t>Coordinator, Rater, Pharmacist</w:t>
            </w:r>
          </w:p>
        </w:tc>
      </w:tr>
      <w:tr w:rsidR="00FC39D9" w14:paraId="45FC9BC5" w14:textId="77777777">
        <w:tblPrEx>
          <w:tblCellMar>
            <w:top w:w="0" w:type="dxa"/>
            <w:bottom w:w="0" w:type="dxa"/>
          </w:tblCellMar>
        </w:tblPrEx>
        <w:tc>
          <w:tcPr>
            <w:tcW w:w="1050" w:type="dxa"/>
            <w:shd w:val="clear" w:color="auto" w:fill="FFFFFF"/>
            <w:tcMar>
              <w:top w:w="80" w:type="dxa"/>
              <w:left w:w="100" w:type="dxa"/>
              <w:bottom w:w="80" w:type="dxa"/>
              <w:right w:w="100" w:type="dxa"/>
            </w:tcMar>
            <w:vAlign w:val="center"/>
          </w:tcPr>
          <w:p w14:paraId="33FA4BEC" w14:textId="77777777" w:rsidR="00FC39D9" w:rsidRDefault="00000000">
            <w:r>
              <w:rPr>
                <w:sz w:val="19"/>
                <w:szCs w:val="19"/>
              </w:rPr>
              <w:t>Week 26 (Primary Endpoint)</w:t>
            </w:r>
          </w:p>
        </w:tc>
        <w:tc>
          <w:tcPr>
            <w:tcW w:w="1550" w:type="dxa"/>
            <w:shd w:val="clear" w:color="auto" w:fill="FFFFFF"/>
            <w:tcMar>
              <w:top w:w="80" w:type="dxa"/>
              <w:left w:w="100" w:type="dxa"/>
              <w:bottom w:w="80" w:type="dxa"/>
              <w:right w:w="100" w:type="dxa"/>
            </w:tcMar>
            <w:vAlign w:val="center"/>
          </w:tcPr>
          <w:p w14:paraId="243F699D" w14:textId="77777777" w:rsidR="00FC39D9" w:rsidRDefault="00000000">
            <w:r>
              <w:rPr>
                <w:sz w:val="19"/>
                <w:szCs w:val="19"/>
              </w:rPr>
              <w:t>Primary endpoint assessment</w:t>
            </w:r>
          </w:p>
        </w:tc>
        <w:tc>
          <w:tcPr>
            <w:tcW w:w="2050" w:type="dxa"/>
            <w:shd w:val="clear" w:color="auto" w:fill="FFFFFF"/>
            <w:tcMar>
              <w:top w:w="80" w:type="dxa"/>
              <w:left w:w="100" w:type="dxa"/>
              <w:bottom w:w="80" w:type="dxa"/>
              <w:right w:w="100" w:type="dxa"/>
            </w:tcMar>
            <w:vAlign w:val="center"/>
          </w:tcPr>
          <w:p w14:paraId="2FC36D73" w14:textId="77777777" w:rsidR="00FC39D9" w:rsidRDefault="00000000">
            <w:r>
              <w:rPr>
                <w:sz w:val="19"/>
                <w:szCs w:val="19"/>
              </w:rPr>
              <w:t>Vitals, WHO FC, 6MWD/Borg, RHC (2nd)</w:t>
            </w:r>
          </w:p>
        </w:tc>
        <w:tc>
          <w:tcPr>
            <w:tcW w:w="1300" w:type="dxa"/>
            <w:shd w:val="clear" w:color="auto" w:fill="FFFFFF"/>
            <w:tcMar>
              <w:top w:w="80" w:type="dxa"/>
              <w:left w:w="100" w:type="dxa"/>
              <w:bottom w:w="80" w:type="dxa"/>
              <w:right w:w="100" w:type="dxa"/>
            </w:tcMar>
            <w:vAlign w:val="center"/>
          </w:tcPr>
          <w:p w14:paraId="774A9E34" w14:textId="77777777" w:rsidR="00FC39D9" w:rsidRDefault="00000000">
            <w:r>
              <w:rPr>
                <w:sz w:val="19"/>
                <w:szCs w:val="19"/>
              </w:rPr>
              <w:t>Central labs, liver/</w:t>
            </w:r>
            <w:proofErr w:type="spellStart"/>
            <w:r>
              <w:rPr>
                <w:sz w:val="19"/>
                <w:szCs w:val="19"/>
              </w:rPr>
              <w:t>hemoglobin</w:t>
            </w:r>
            <w:proofErr w:type="spellEnd"/>
            <w:r>
              <w:rPr>
                <w:sz w:val="19"/>
                <w:szCs w:val="19"/>
              </w:rPr>
              <w:t>, pregnancy, biomarkers</w:t>
            </w:r>
          </w:p>
        </w:tc>
        <w:tc>
          <w:tcPr>
            <w:tcW w:w="1300" w:type="dxa"/>
            <w:shd w:val="clear" w:color="auto" w:fill="FFFFFF"/>
            <w:tcMar>
              <w:top w:w="80" w:type="dxa"/>
              <w:left w:w="100" w:type="dxa"/>
              <w:bottom w:w="80" w:type="dxa"/>
              <w:right w:w="100" w:type="dxa"/>
            </w:tcMar>
            <w:vAlign w:val="center"/>
          </w:tcPr>
          <w:p w14:paraId="04A43166" w14:textId="77777777" w:rsidR="00FC39D9" w:rsidRDefault="00000000">
            <w:r>
              <w:rPr>
                <w:sz w:val="19"/>
                <w:szCs w:val="19"/>
              </w:rPr>
              <w:t>IP dispensing and return</w:t>
            </w:r>
          </w:p>
        </w:tc>
        <w:tc>
          <w:tcPr>
            <w:tcW w:w="1550" w:type="dxa"/>
            <w:shd w:val="clear" w:color="auto" w:fill="FFFFFF"/>
            <w:tcMar>
              <w:top w:w="80" w:type="dxa"/>
              <w:left w:w="100" w:type="dxa"/>
              <w:bottom w:w="80" w:type="dxa"/>
              <w:right w:w="100" w:type="dxa"/>
            </w:tcMar>
            <w:vAlign w:val="center"/>
          </w:tcPr>
          <w:p w14:paraId="2A07B6F3" w14:textId="77777777" w:rsidR="00FC39D9" w:rsidRDefault="00000000">
            <w:r>
              <w:rPr>
                <w:sz w:val="19"/>
                <w:szCs w:val="19"/>
              </w:rPr>
              <w:t>RHC report, eCRF source</w:t>
            </w:r>
          </w:p>
        </w:tc>
        <w:tc>
          <w:tcPr>
            <w:tcW w:w="1200" w:type="dxa"/>
            <w:shd w:val="clear" w:color="auto" w:fill="FFFFFF"/>
            <w:tcMar>
              <w:top w:w="80" w:type="dxa"/>
              <w:left w:w="100" w:type="dxa"/>
              <w:bottom w:w="80" w:type="dxa"/>
              <w:right w:w="100" w:type="dxa"/>
            </w:tcMar>
            <w:vAlign w:val="center"/>
          </w:tcPr>
          <w:p w14:paraId="05025828" w14:textId="77777777" w:rsidR="00FC39D9" w:rsidRDefault="00000000">
            <w:r>
              <w:rPr>
                <w:sz w:val="19"/>
                <w:szCs w:val="19"/>
              </w:rPr>
              <w:t>PI/Sub-I, Coordinator, Rater</w:t>
            </w:r>
          </w:p>
        </w:tc>
      </w:tr>
      <w:tr w:rsidR="00FC39D9" w14:paraId="6522D218" w14:textId="77777777">
        <w:tblPrEx>
          <w:tblCellMar>
            <w:top w:w="0" w:type="dxa"/>
            <w:bottom w:w="0" w:type="dxa"/>
          </w:tblCellMar>
        </w:tblPrEx>
        <w:tc>
          <w:tcPr>
            <w:tcW w:w="1050" w:type="dxa"/>
            <w:shd w:val="clear" w:color="auto" w:fill="F2F2F2"/>
            <w:tcMar>
              <w:top w:w="80" w:type="dxa"/>
              <w:left w:w="100" w:type="dxa"/>
              <w:bottom w:w="80" w:type="dxa"/>
              <w:right w:w="100" w:type="dxa"/>
            </w:tcMar>
            <w:vAlign w:val="center"/>
          </w:tcPr>
          <w:p w14:paraId="06F0B8F9" w14:textId="77777777" w:rsidR="00FC39D9" w:rsidRDefault="00000000">
            <w:r>
              <w:rPr>
                <w:sz w:val="19"/>
                <w:szCs w:val="19"/>
              </w:rPr>
              <w:t>EOT / EOS</w:t>
            </w:r>
          </w:p>
        </w:tc>
        <w:tc>
          <w:tcPr>
            <w:tcW w:w="1550" w:type="dxa"/>
            <w:shd w:val="clear" w:color="auto" w:fill="F2F2F2"/>
            <w:tcMar>
              <w:top w:w="80" w:type="dxa"/>
              <w:left w:w="100" w:type="dxa"/>
              <w:bottom w:w="80" w:type="dxa"/>
              <w:right w:w="100" w:type="dxa"/>
            </w:tcMar>
            <w:vAlign w:val="center"/>
          </w:tcPr>
          <w:p w14:paraId="5BF4EB37" w14:textId="77777777" w:rsidR="00FC39D9" w:rsidRDefault="00000000">
            <w:r>
              <w:rPr>
                <w:sz w:val="19"/>
                <w:szCs w:val="19"/>
              </w:rPr>
              <w:t>Close treatment or exit safely</w:t>
            </w:r>
          </w:p>
        </w:tc>
        <w:tc>
          <w:tcPr>
            <w:tcW w:w="2050" w:type="dxa"/>
            <w:shd w:val="clear" w:color="auto" w:fill="F2F2F2"/>
            <w:tcMar>
              <w:top w:w="80" w:type="dxa"/>
              <w:left w:w="100" w:type="dxa"/>
              <w:bottom w:w="80" w:type="dxa"/>
              <w:right w:w="100" w:type="dxa"/>
            </w:tcMar>
            <w:vAlign w:val="center"/>
          </w:tcPr>
          <w:p w14:paraId="5DF0971D" w14:textId="77777777" w:rsidR="00FC39D9" w:rsidRDefault="00000000">
            <w:r>
              <w:rPr>
                <w:sz w:val="19"/>
                <w:szCs w:val="19"/>
              </w:rPr>
              <w:t>Vitals, physical exam, AE review</w:t>
            </w:r>
          </w:p>
        </w:tc>
        <w:tc>
          <w:tcPr>
            <w:tcW w:w="1300" w:type="dxa"/>
            <w:shd w:val="clear" w:color="auto" w:fill="F2F2F2"/>
            <w:tcMar>
              <w:top w:w="80" w:type="dxa"/>
              <w:left w:w="100" w:type="dxa"/>
              <w:bottom w:w="80" w:type="dxa"/>
              <w:right w:w="100" w:type="dxa"/>
            </w:tcMar>
            <w:vAlign w:val="center"/>
          </w:tcPr>
          <w:p w14:paraId="71E21038" w14:textId="77777777" w:rsidR="00FC39D9" w:rsidRDefault="00000000">
            <w:r>
              <w:rPr>
                <w:sz w:val="19"/>
                <w:szCs w:val="19"/>
              </w:rPr>
              <w:t>Final labs, pregnancy (if WOCBP)</w:t>
            </w:r>
          </w:p>
        </w:tc>
        <w:tc>
          <w:tcPr>
            <w:tcW w:w="1300" w:type="dxa"/>
            <w:shd w:val="clear" w:color="auto" w:fill="F2F2F2"/>
            <w:tcMar>
              <w:top w:w="80" w:type="dxa"/>
              <w:left w:w="100" w:type="dxa"/>
              <w:bottom w:w="80" w:type="dxa"/>
              <w:right w:w="100" w:type="dxa"/>
            </w:tcMar>
            <w:vAlign w:val="center"/>
          </w:tcPr>
          <w:p w14:paraId="089528A3" w14:textId="77777777" w:rsidR="00FC39D9" w:rsidRDefault="00000000">
            <w:r>
              <w:rPr>
                <w:sz w:val="19"/>
                <w:szCs w:val="19"/>
              </w:rPr>
              <w:t>Final IP return and reconciliation</w:t>
            </w:r>
          </w:p>
        </w:tc>
        <w:tc>
          <w:tcPr>
            <w:tcW w:w="1550" w:type="dxa"/>
            <w:shd w:val="clear" w:color="auto" w:fill="F2F2F2"/>
            <w:tcMar>
              <w:top w:w="80" w:type="dxa"/>
              <w:left w:w="100" w:type="dxa"/>
              <w:bottom w:w="80" w:type="dxa"/>
              <w:right w:w="100" w:type="dxa"/>
            </w:tcMar>
            <w:vAlign w:val="center"/>
          </w:tcPr>
          <w:p w14:paraId="5D44A518" w14:textId="77777777" w:rsidR="00FC39D9" w:rsidRDefault="00000000">
            <w:r>
              <w:rPr>
                <w:sz w:val="19"/>
                <w:szCs w:val="19"/>
              </w:rPr>
              <w:t>EOT/EOS form, reconciliation log</w:t>
            </w:r>
          </w:p>
        </w:tc>
        <w:tc>
          <w:tcPr>
            <w:tcW w:w="1200" w:type="dxa"/>
            <w:shd w:val="clear" w:color="auto" w:fill="F2F2F2"/>
            <w:tcMar>
              <w:top w:w="80" w:type="dxa"/>
              <w:left w:w="100" w:type="dxa"/>
              <w:bottom w:w="80" w:type="dxa"/>
              <w:right w:w="100" w:type="dxa"/>
            </w:tcMar>
            <w:vAlign w:val="center"/>
          </w:tcPr>
          <w:p w14:paraId="2D7E662F" w14:textId="77777777" w:rsidR="00FC39D9" w:rsidRDefault="00000000">
            <w:r>
              <w:rPr>
                <w:sz w:val="19"/>
                <w:szCs w:val="19"/>
              </w:rPr>
              <w:t>PI/Sub-I, Coordinator, Pharmacist</w:t>
            </w:r>
          </w:p>
        </w:tc>
      </w:tr>
      <w:tr w:rsidR="00FC39D9" w14:paraId="2063CE24" w14:textId="77777777">
        <w:tblPrEx>
          <w:tblCellMar>
            <w:top w:w="0" w:type="dxa"/>
            <w:bottom w:w="0" w:type="dxa"/>
          </w:tblCellMar>
        </w:tblPrEx>
        <w:tc>
          <w:tcPr>
            <w:tcW w:w="1050" w:type="dxa"/>
            <w:shd w:val="clear" w:color="auto" w:fill="FFFFFF"/>
            <w:tcMar>
              <w:top w:w="80" w:type="dxa"/>
              <w:left w:w="100" w:type="dxa"/>
              <w:bottom w:w="80" w:type="dxa"/>
              <w:right w:w="100" w:type="dxa"/>
            </w:tcMar>
            <w:vAlign w:val="center"/>
          </w:tcPr>
          <w:p w14:paraId="03E2C554" w14:textId="77777777" w:rsidR="00FC39D9" w:rsidRDefault="00000000">
            <w:r>
              <w:rPr>
                <w:sz w:val="19"/>
                <w:szCs w:val="19"/>
              </w:rPr>
              <w:t>Extension (every 6 mo.)</w:t>
            </w:r>
          </w:p>
        </w:tc>
        <w:tc>
          <w:tcPr>
            <w:tcW w:w="1550" w:type="dxa"/>
            <w:shd w:val="clear" w:color="auto" w:fill="FFFFFF"/>
            <w:tcMar>
              <w:top w:w="80" w:type="dxa"/>
              <w:left w:w="100" w:type="dxa"/>
              <w:bottom w:w="80" w:type="dxa"/>
              <w:right w:w="100" w:type="dxa"/>
            </w:tcMar>
            <w:vAlign w:val="center"/>
          </w:tcPr>
          <w:p w14:paraId="2DB8DC7E" w14:textId="77777777" w:rsidR="00FC39D9" w:rsidRDefault="00000000">
            <w:r>
              <w:rPr>
                <w:sz w:val="19"/>
                <w:szCs w:val="19"/>
              </w:rPr>
              <w:t>Long-term follow-up</w:t>
            </w:r>
          </w:p>
        </w:tc>
        <w:tc>
          <w:tcPr>
            <w:tcW w:w="2050" w:type="dxa"/>
            <w:shd w:val="clear" w:color="auto" w:fill="FFFFFF"/>
            <w:tcMar>
              <w:top w:w="80" w:type="dxa"/>
              <w:left w:w="100" w:type="dxa"/>
              <w:bottom w:w="80" w:type="dxa"/>
              <w:right w:w="100" w:type="dxa"/>
            </w:tcMar>
            <w:vAlign w:val="center"/>
          </w:tcPr>
          <w:p w14:paraId="27EF915C" w14:textId="77777777" w:rsidR="00FC39D9" w:rsidRDefault="00000000">
            <w:r>
              <w:rPr>
                <w:sz w:val="19"/>
                <w:szCs w:val="19"/>
              </w:rPr>
              <w:t>Vitals, WHO FC, AE review</w:t>
            </w:r>
          </w:p>
        </w:tc>
        <w:tc>
          <w:tcPr>
            <w:tcW w:w="1300" w:type="dxa"/>
            <w:shd w:val="clear" w:color="auto" w:fill="FFFFFF"/>
            <w:tcMar>
              <w:top w:w="80" w:type="dxa"/>
              <w:left w:w="100" w:type="dxa"/>
              <w:bottom w:w="80" w:type="dxa"/>
              <w:right w:w="100" w:type="dxa"/>
            </w:tcMar>
            <w:vAlign w:val="center"/>
          </w:tcPr>
          <w:p w14:paraId="2CA84A1E" w14:textId="77777777" w:rsidR="00FC39D9" w:rsidRDefault="00000000">
            <w:r>
              <w:rPr>
                <w:sz w:val="19"/>
                <w:szCs w:val="19"/>
              </w:rPr>
              <w:t>Per extension schedule</w:t>
            </w:r>
          </w:p>
        </w:tc>
        <w:tc>
          <w:tcPr>
            <w:tcW w:w="1300" w:type="dxa"/>
            <w:shd w:val="clear" w:color="auto" w:fill="FFFFFF"/>
            <w:tcMar>
              <w:top w:w="80" w:type="dxa"/>
              <w:left w:w="100" w:type="dxa"/>
              <w:bottom w:w="80" w:type="dxa"/>
              <w:right w:w="100" w:type="dxa"/>
            </w:tcMar>
            <w:vAlign w:val="center"/>
          </w:tcPr>
          <w:p w14:paraId="4F30369E" w14:textId="77777777" w:rsidR="00FC39D9" w:rsidRDefault="00000000">
            <w:r>
              <w:rPr>
                <w:sz w:val="19"/>
                <w:szCs w:val="19"/>
              </w:rPr>
              <w:t>Ongoing dispensing</w:t>
            </w:r>
          </w:p>
        </w:tc>
        <w:tc>
          <w:tcPr>
            <w:tcW w:w="1550" w:type="dxa"/>
            <w:shd w:val="clear" w:color="auto" w:fill="FFFFFF"/>
            <w:tcMar>
              <w:top w:w="80" w:type="dxa"/>
              <w:left w:w="100" w:type="dxa"/>
              <w:bottom w:w="80" w:type="dxa"/>
              <w:right w:w="100" w:type="dxa"/>
            </w:tcMar>
            <w:vAlign w:val="center"/>
          </w:tcPr>
          <w:p w14:paraId="07AC1D73" w14:textId="77777777" w:rsidR="00FC39D9" w:rsidRDefault="00000000">
            <w:r>
              <w:rPr>
                <w:sz w:val="19"/>
                <w:szCs w:val="19"/>
              </w:rPr>
              <w:t>eCRF source</w:t>
            </w:r>
          </w:p>
        </w:tc>
        <w:tc>
          <w:tcPr>
            <w:tcW w:w="1200" w:type="dxa"/>
            <w:shd w:val="clear" w:color="auto" w:fill="FFFFFF"/>
            <w:tcMar>
              <w:top w:w="80" w:type="dxa"/>
              <w:left w:w="100" w:type="dxa"/>
              <w:bottom w:w="80" w:type="dxa"/>
              <w:right w:w="100" w:type="dxa"/>
            </w:tcMar>
            <w:vAlign w:val="center"/>
          </w:tcPr>
          <w:p w14:paraId="70F27447" w14:textId="77777777" w:rsidR="00FC39D9" w:rsidRDefault="00000000">
            <w:r>
              <w:rPr>
                <w:sz w:val="19"/>
                <w:szCs w:val="19"/>
              </w:rPr>
              <w:t>Coordinator, PI/Sub-I</w:t>
            </w:r>
          </w:p>
        </w:tc>
      </w:tr>
    </w:tbl>
    <w:p w14:paraId="2FE808C8" w14:textId="77777777" w:rsidR="00FC39D9" w:rsidRDefault="00FC39D9">
      <w:pPr>
        <w:spacing w:after="140"/>
      </w:pPr>
    </w:p>
    <w:p w14:paraId="73A5A1FE" w14:textId="77777777" w:rsidR="00FC39D9" w:rsidRDefault="00000000">
      <w:pPr>
        <w:spacing w:after="160" w:line="276" w:lineRule="auto"/>
      </w:pPr>
      <w:r>
        <w:t xml:space="preserve">Note: laboratory testing for liver aminotransferases, bilirubin, and </w:t>
      </w:r>
      <w:proofErr w:type="spellStart"/>
      <w:r>
        <w:t>hemoglobin</w:t>
      </w:r>
      <w:proofErr w:type="spellEnd"/>
      <w:r>
        <w:t xml:space="preserve"> is required monthly throughout the study regardless of visit type, and can occur at the site, a satellite laboratory, or through home phlebotomy — this monthly cadence runs independently of the visit schedule above and needs its own tracking mechanism.</w:t>
      </w:r>
    </w:p>
    <w:p w14:paraId="34447619" w14:textId="77777777" w:rsidR="00FC39D9" w:rsidRDefault="00000000">
      <w:pPr>
        <w:pStyle w:val="Heading1"/>
      </w:pPr>
      <w:r>
        <w:t>8. Roles and Responsibilities</w:t>
      </w:r>
    </w:p>
    <w:p w14:paraId="41737B6B" w14:textId="77777777" w:rsidR="00FC39D9" w:rsidRDefault="00000000">
      <w:pPr>
        <w:spacing w:after="160" w:line="276" w:lineRule="auto"/>
      </w:pPr>
      <w:r>
        <w:t xml:space="preserve">A RACI matrix (Responsible, Accountable, Consulted, Informed) is a useful way to make sure two people don't assume the other is handling something critical — IP accountability and SAE reporting are the two </w:t>
      </w:r>
      <w:r>
        <w:lastRenderedPageBreak/>
        <w:t>areas where this gap causes the most damage. The matrix below reflects a typical site team structure for a study of this complexity.</w:t>
      </w:r>
    </w:p>
    <w:tbl>
      <w:tblPr>
        <w:tblW w:w="835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2581"/>
        <w:gridCol w:w="812"/>
        <w:gridCol w:w="1246"/>
        <w:gridCol w:w="1195"/>
        <w:gridCol w:w="821"/>
        <w:gridCol w:w="1695"/>
      </w:tblGrid>
      <w:tr w:rsidR="00FC39D9" w14:paraId="33C84A3A" w14:textId="77777777">
        <w:tblPrEx>
          <w:tblCellMar>
            <w:top w:w="0" w:type="dxa"/>
            <w:bottom w:w="0" w:type="dxa"/>
          </w:tblCellMar>
        </w:tblPrEx>
        <w:trPr>
          <w:tblHeader/>
        </w:trPr>
        <w:tc>
          <w:tcPr>
            <w:tcW w:w="2600" w:type="dxa"/>
            <w:shd w:val="clear" w:color="auto" w:fill="44546A"/>
            <w:tcMar>
              <w:top w:w="80" w:type="dxa"/>
              <w:left w:w="100" w:type="dxa"/>
              <w:bottom w:w="80" w:type="dxa"/>
              <w:right w:w="100" w:type="dxa"/>
            </w:tcMar>
            <w:vAlign w:val="center"/>
          </w:tcPr>
          <w:p w14:paraId="065285A7" w14:textId="77777777" w:rsidR="00FC39D9" w:rsidRDefault="00000000">
            <w:r>
              <w:rPr>
                <w:b/>
                <w:bCs/>
                <w:color w:val="FFFFFF"/>
                <w:sz w:val="19"/>
                <w:szCs w:val="19"/>
              </w:rPr>
              <w:t>Activity</w:t>
            </w:r>
          </w:p>
        </w:tc>
        <w:tc>
          <w:tcPr>
            <w:tcW w:w="1150" w:type="dxa"/>
            <w:shd w:val="clear" w:color="auto" w:fill="44546A"/>
            <w:tcMar>
              <w:top w:w="80" w:type="dxa"/>
              <w:left w:w="100" w:type="dxa"/>
              <w:bottom w:w="80" w:type="dxa"/>
              <w:right w:w="100" w:type="dxa"/>
            </w:tcMar>
            <w:vAlign w:val="center"/>
          </w:tcPr>
          <w:p w14:paraId="26DDF99D" w14:textId="77777777" w:rsidR="00FC39D9" w:rsidRDefault="00000000">
            <w:r>
              <w:rPr>
                <w:b/>
                <w:bCs/>
                <w:color w:val="FFFFFF"/>
                <w:sz w:val="19"/>
                <w:szCs w:val="19"/>
              </w:rPr>
              <w:t>PI / Sub-I</w:t>
            </w:r>
          </w:p>
        </w:tc>
        <w:tc>
          <w:tcPr>
            <w:tcW w:w="1150" w:type="dxa"/>
            <w:shd w:val="clear" w:color="auto" w:fill="44546A"/>
            <w:tcMar>
              <w:top w:w="80" w:type="dxa"/>
              <w:left w:w="100" w:type="dxa"/>
              <w:bottom w:w="80" w:type="dxa"/>
              <w:right w:w="100" w:type="dxa"/>
            </w:tcMar>
            <w:vAlign w:val="center"/>
          </w:tcPr>
          <w:p w14:paraId="2CBDBA61" w14:textId="77777777" w:rsidR="00FC39D9" w:rsidRDefault="00000000">
            <w:r>
              <w:rPr>
                <w:b/>
                <w:bCs/>
                <w:color w:val="FFFFFF"/>
                <w:sz w:val="19"/>
                <w:szCs w:val="19"/>
              </w:rPr>
              <w:t>Coordinator</w:t>
            </w:r>
          </w:p>
        </w:tc>
        <w:tc>
          <w:tcPr>
            <w:tcW w:w="1150" w:type="dxa"/>
            <w:shd w:val="clear" w:color="auto" w:fill="44546A"/>
            <w:tcMar>
              <w:top w:w="80" w:type="dxa"/>
              <w:left w:w="100" w:type="dxa"/>
              <w:bottom w:w="80" w:type="dxa"/>
              <w:right w:w="100" w:type="dxa"/>
            </w:tcMar>
            <w:vAlign w:val="center"/>
          </w:tcPr>
          <w:p w14:paraId="05A3D383" w14:textId="77777777" w:rsidR="00FC39D9" w:rsidRDefault="00000000">
            <w:r>
              <w:rPr>
                <w:b/>
                <w:bCs/>
                <w:color w:val="FFFFFF"/>
                <w:sz w:val="19"/>
                <w:szCs w:val="19"/>
              </w:rPr>
              <w:t>Pharmacist</w:t>
            </w:r>
          </w:p>
        </w:tc>
        <w:tc>
          <w:tcPr>
            <w:tcW w:w="1150" w:type="dxa"/>
            <w:shd w:val="clear" w:color="auto" w:fill="44546A"/>
            <w:tcMar>
              <w:top w:w="80" w:type="dxa"/>
              <w:left w:w="100" w:type="dxa"/>
              <w:bottom w:w="80" w:type="dxa"/>
              <w:right w:w="100" w:type="dxa"/>
            </w:tcMar>
            <w:vAlign w:val="center"/>
          </w:tcPr>
          <w:p w14:paraId="78F60BDF" w14:textId="77777777" w:rsidR="00FC39D9" w:rsidRDefault="00000000">
            <w:r>
              <w:rPr>
                <w:b/>
                <w:bCs/>
                <w:color w:val="FFFFFF"/>
                <w:sz w:val="19"/>
                <w:szCs w:val="19"/>
              </w:rPr>
              <w:t>Lab Tech</w:t>
            </w:r>
          </w:p>
        </w:tc>
        <w:tc>
          <w:tcPr>
            <w:tcW w:w="1150" w:type="dxa"/>
            <w:shd w:val="clear" w:color="auto" w:fill="44546A"/>
            <w:tcMar>
              <w:top w:w="80" w:type="dxa"/>
              <w:left w:w="100" w:type="dxa"/>
              <w:bottom w:w="80" w:type="dxa"/>
              <w:right w:w="100" w:type="dxa"/>
            </w:tcMar>
            <w:vAlign w:val="center"/>
          </w:tcPr>
          <w:p w14:paraId="12326E90" w14:textId="77777777" w:rsidR="00FC39D9" w:rsidRDefault="00000000">
            <w:r>
              <w:rPr>
                <w:b/>
                <w:bCs/>
                <w:color w:val="FFFFFF"/>
                <w:sz w:val="19"/>
                <w:szCs w:val="19"/>
              </w:rPr>
              <w:t>Data Manager/Monitor</w:t>
            </w:r>
          </w:p>
        </w:tc>
      </w:tr>
      <w:tr w:rsidR="00FC39D9" w14:paraId="4F98B63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5D46A97" w14:textId="77777777" w:rsidR="00FC39D9" w:rsidRDefault="00000000">
            <w:r>
              <w:rPr>
                <w:sz w:val="19"/>
                <w:szCs w:val="19"/>
              </w:rPr>
              <w:t>Eligibility confirmation</w:t>
            </w:r>
          </w:p>
        </w:tc>
        <w:tc>
          <w:tcPr>
            <w:tcW w:w="1150" w:type="dxa"/>
            <w:shd w:val="clear" w:color="auto" w:fill="FFFFFF"/>
            <w:tcMar>
              <w:top w:w="80" w:type="dxa"/>
              <w:left w:w="100" w:type="dxa"/>
              <w:bottom w:w="80" w:type="dxa"/>
              <w:right w:w="100" w:type="dxa"/>
            </w:tcMar>
            <w:vAlign w:val="center"/>
          </w:tcPr>
          <w:p w14:paraId="6109DC53" w14:textId="77777777" w:rsidR="00FC39D9" w:rsidRDefault="00000000">
            <w:r>
              <w:rPr>
                <w:sz w:val="19"/>
                <w:szCs w:val="19"/>
              </w:rPr>
              <w:t>A/R</w:t>
            </w:r>
          </w:p>
        </w:tc>
        <w:tc>
          <w:tcPr>
            <w:tcW w:w="1150" w:type="dxa"/>
            <w:shd w:val="clear" w:color="auto" w:fill="FFFFFF"/>
            <w:tcMar>
              <w:top w:w="80" w:type="dxa"/>
              <w:left w:w="100" w:type="dxa"/>
              <w:bottom w:w="80" w:type="dxa"/>
              <w:right w:w="100" w:type="dxa"/>
            </w:tcMar>
            <w:vAlign w:val="center"/>
          </w:tcPr>
          <w:p w14:paraId="52564234" w14:textId="77777777" w:rsidR="00FC39D9" w:rsidRDefault="00000000">
            <w:r>
              <w:rPr>
                <w:sz w:val="19"/>
                <w:szCs w:val="19"/>
              </w:rPr>
              <w:t>C</w:t>
            </w:r>
          </w:p>
        </w:tc>
        <w:tc>
          <w:tcPr>
            <w:tcW w:w="1150" w:type="dxa"/>
            <w:shd w:val="clear" w:color="auto" w:fill="FFFFFF"/>
            <w:tcMar>
              <w:top w:w="80" w:type="dxa"/>
              <w:left w:w="100" w:type="dxa"/>
              <w:bottom w:w="80" w:type="dxa"/>
              <w:right w:w="100" w:type="dxa"/>
            </w:tcMar>
            <w:vAlign w:val="center"/>
          </w:tcPr>
          <w:p w14:paraId="5236ADDD"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16B8E37C"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4DFBCA9D" w14:textId="77777777" w:rsidR="00FC39D9" w:rsidRDefault="00000000">
            <w:r>
              <w:rPr>
                <w:sz w:val="19"/>
                <w:szCs w:val="19"/>
              </w:rPr>
              <w:t>I</w:t>
            </w:r>
          </w:p>
        </w:tc>
      </w:tr>
      <w:tr w:rsidR="00FC39D9" w14:paraId="484501A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09312E7" w14:textId="77777777" w:rsidR="00FC39D9" w:rsidRDefault="00000000">
            <w:r>
              <w:rPr>
                <w:sz w:val="19"/>
                <w:szCs w:val="19"/>
              </w:rPr>
              <w:t>Informed consent</w:t>
            </w:r>
          </w:p>
        </w:tc>
        <w:tc>
          <w:tcPr>
            <w:tcW w:w="1150" w:type="dxa"/>
            <w:shd w:val="clear" w:color="auto" w:fill="F2F2F2"/>
            <w:tcMar>
              <w:top w:w="80" w:type="dxa"/>
              <w:left w:w="100" w:type="dxa"/>
              <w:bottom w:w="80" w:type="dxa"/>
              <w:right w:w="100" w:type="dxa"/>
            </w:tcMar>
            <w:vAlign w:val="center"/>
          </w:tcPr>
          <w:p w14:paraId="1549073B" w14:textId="77777777" w:rsidR="00FC39D9" w:rsidRDefault="00000000">
            <w:r>
              <w:rPr>
                <w:sz w:val="19"/>
                <w:szCs w:val="19"/>
              </w:rPr>
              <w:t>A</w:t>
            </w:r>
          </w:p>
        </w:tc>
        <w:tc>
          <w:tcPr>
            <w:tcW w:w="1150" w:type="dxa"/>
            <w:shd w:val="clear" w:color="auto" w:fill="F2F2F2"/>
            <w:tcMar>
              <w:top w:w="80" w:type="dxa"/>
              <w:left w:w="100" w:type="dxa"/>
              <w:bottom w:w="80" w:type="dxa"/>
              <w:right w:w="100" w:type="dxa"/>
            </w:tcMar>
            <w:vAlign w:val="center"/>
          </w:tcPr>
          <w:p w14:paraId="2DA717B6"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7E455A36"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45A2B331"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0DC13618" w14:textId="77777777" w:rsidR="00FC39D9" w:rsidRDefault="00000000">
            <w:r>
              <w:rPr>
                <w:sz w:val="19"/>
                <w:szCs w:val="19"/>
              </w:rPr>
              <w:t>I</w:t>
            </w:r>
          </w:p>
        </w:tc>
      </w:tr>
      <w:tr w:rsidR="00FC39D9" w14:paraId="5E99F88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A5D095C" w14:textId="77777777" w:rsidR="00FC39D9" w:rsidRDefault="00000000">
            <w:r>
              <w:rPr>
                <w:sz w:val="19"/>
                <w:szCs w:val="19"/>
              </w:rPr>
              <w:t>RHC performance and interpretation</w:t>
            </w:r>
          </w:p>
        </w:tc>
        <w:tc>
          <w:tcPr>
            <w:tcW w:w="1150" w:type="dxa"/>
            <w:shd w:val="clear" w:color="auto" w:fill="FFFFFF"/>
            <w:tcMar>
              <w:top w:w="80" w:type="dxa"/>
              <w:left w:w="100" w:type="dxa"/>
              <w:bottom w:w="80" w:type="dxa"/>
              <w:right w:w="100" w:type="dxa"/>
            </w:tcMar>
            <w:vAlign w:val="center"/>
          </w:tcPr>
          <w:p w14:paraId="7E3CCFE8" w14:textId="77777777" w:rsidR="00FC39D9" w:rsidRDefault="00000000">
            <w:r>
              <w:rPr>
                <w:sz w:val="19"/>
                <w:szCs w:val="19"/>
              </w:rPr>
              <w:t>R/A</w:t>
            </w:r>
          </w:p>
        </w:tc>
        <w:tc>
          <w:tcPr>
            <w:tcW w:w="1150" w:type="dxa"/>
            <w:shd w:val="clear" w:color="auto" w:fill="FFFFFF"/>
            <w:tcMar>
              <w:top w:w="80" w:type="dxa"/>
              <w:left w:w="100" w:type="dxa"/>
              <w:bottom w:w="80" w:type="dxa"/>
              <w:right w:w="100" w:type="dxa"/>
            </w:tcMar>
            <w:vAlign w:val="center"/>
          </w:tcPr>
          <w:p w14:paraId="7E00EE0A" w14:textId="77777777" w:rsidR="00FC39D9" w:rsidRDefault="00000000">
            <w:r>
              <w:rPr>
                <w:sz w:val="19"/>
                <w:szCs w:val="19"/>
              </w:rPr>
              <w:t>C</w:t>
            </w:r>
          </w:p>
        </w:tc>
        <w:tc>
          <w:tcPr>
            <w:tcW w:w="1150" w:type="dxa"/>
            <w:shd w:val="clear" w:color="auto" w:fill="FFFFFF"/>
            <w:tcMar>
              <w:top w:w="80" w:type="dxa"/>
              <w:left w:w="100" w:type="dxa"/>
              <w:bottom w:w="80" w:type="dxa"/>
              <w:right w:w="100" w:type="dxa"/>
            </w:tcMar>
            <w:vAlign w:val="center"/>
          </w:tcPr>
          <w:p w14:paraId="04B8F218"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462C2AF5"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2778C13D" w14:textId="77777777" w:rsidR="00FC39D9" w:rsidRDefault="00000000">
            <w:r>
              <w:rPr>
                <w:sz w:val="19"/>
                <w:szCs w:val="19"/>
              </w:rPr>
              <w:t>I</w:t>
            </w:r>
          </w:p>
        </w:tc>
      </w:tr>
      <w:tr w:rsidR="00FC39D9" w14:paraId="4ABEABC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3E05C29" w14:textId="77777777" w:rsidR="00FC39D9" w:rsidRDefault="00000000">
            <w:r>
              <w:rPr>
                <w:sz w:val="19"/>
                <w:szCs w:val="19"/>
              </w:rPr>
              <w:t>6MWT / WHO FC assessment</w:t>
            </w:r>
          </w:p>
        </w:tc>
        <w:tc>
          <w:tcPr>
            <w:tcW w:w="1150" w:type="dxa"/>
            <w:shd w:val="clear" w:color="auto" w:fill="F2F2F2"/>
            <w:tcMar>
              <w:top w:w="80" w:type="dxa"/>
              <w:left w:w="100" w:type="dxa"/>
              <w:bottom w:w="80" w:type="dxa"/>
              <w:right w:w="100" w:type="dxa"/>
            </w:tcMar>
            <w:vAlign w:val="center"/>
          </w:tcPr>
          <w:p w14:paraId="613C7A2B"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6827A553"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53FE5BF5"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601ABB0A"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7C866431" w14:textId="77777777" w:rsidR="00FC39D9" w:rsidRDefault="00000000">
            <w:r>
              <w:rPr>
                <w:sz w:val="19"/>
                <w:szCs w:val="19"/>
              </w:rPr>
              <w:t>I</w:t>
            </w:r>
          </w:p>
        </w:tc>
      </w:tr>
      <w:tr w:rsidR="00FC39D9" w14:paraId="1AF991B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FD0D46D" w14:textId="77777777" w:rsidR="00FC39D9" w:rsidRDefault="00000000">
            <w:r>
              <w:rPr>
                <w:sz w:val="19"/>
                <w:szCs w:val="19"/>
              </w:rPr>
              <w:t>Randomization (IRT)</w:t>
            </w:r>
          </w:p>
        </w:tc>
        <w:tc>
          <w:tcPr>
            <w:tcW w:w="1150" w:type="dxa"/>
            <w:shd w:val="clear" w:color="auto" w:fill="FFFFFF"/>
            <w:tcMar>
              <w:top w:w="80" w:type="dxa"/>
              <w:left w:w="100" w:type="dxa"/>
              <w:bottom w:w="80" w:type="dxa"/>
              <w:right w:w="100" w:type="dxa"/>
            </w:tcMar>
            <w:vAlign w:val="center"/>
          </w:tcPr>
          <w:p w14:paraId="597218FC" w14:textId="77777777" w:rsidR="00FC39D9" w:rsidRDefault="00000000">
            <w:r>
              <w:rPr>
                <w:sz w:val="19"/>
                <w:szCs w:val="19"/>
              </w:rPr>
              <w:t>A</w:t>
            </w:r>
          </w:p>
        </w:tc>
        <w:tc>
          <w:tcPr>
            <w:tcW w:w="1150" w:type="dxa"/>
            <w:shd w:val="clear" w:color="auto" w:fill="FFFFFF"/>
            <w:tcMar>
              <w:top w:w="80" w:type="dxa"/>
              <w:left w:w="100" w:type="dxa"/>
              <w:bottom w:w="80" w:type="dxa"/>
              <w:right w:w="100" w:type="dxa"/>
            </w:tcMar>
            <w:vAlign w:val="center"/>
          </w:tcPr>
          <w:p w14:paraId="09356F04" w14:textId="77777777" w:rsidR="00FC39D9" w:rsidRDefault="00000000">
            <w:r>
              <w:rPr>
                <w:sz w:val="19"/>
                <w:szCs w:val="19"/>
              </w:rPr>
              <w:t>R</w:t>
            </w:r>
          </w:p>
        </w:tc>
        <w:tc>
          <w:tcPr>
            <w:tcW w:w="1150" w:type="dxa"/>
            <w:shd w:val="clear" w:color="auto" w:fill="FFFFFF"/>
            <w:tcMar>
              <w:top w:w="80" w:type="dxa"/>
              <w:left w:w="100" w:type="dxa"/>
              <w:bottom w:w="80" w:type="dxa"/>
              <w:right w:w="100" w:type="dxa"/>
            </w:tcMar>
            <w:vAlign w:val="center"/>
          </w:tcPr>
          <w:p w14:paraId="61F09C68" w14:textId="77777777" w:rsidR="00FC39D9" w:rsidRDefault="00000000">
            <w:r>
              <w:rPr>
                <w:sz w:val="19"/>
                <w:szCs w:val="19"/>
              </w:rPr>
              <w:t>C</w:t>
            </w:r>
          </w:p>
        </w:tc>
        <w:tc>
          <w:tcPr>
            <w:tcW w:w="1150" w:type="dxa"/>
            <w:shd w:val="clear" w:color="auto" w:fill="FFFFFF"/>
            <w:tcMar>
              <w:top w:w="80" w:type="dxa"/>
              <w:left w:w="100" w:type="dxa"/>
              <w:bottom w:w="80" w:type="dxa"/>
              <w:right w:w="100" w:type="dxa"/>
            </w:tcMar>
            <w:vAlign w:val="center"/>
          </w:tcPr>
          <w:p w14:paraId="66AD2536"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1B7963E2" w14:textId="77777777" w:rsidR="00FC39D9" w:rsidRDefault="00000000">
            <w:r>
              <w:rPr>
                <w:sz w:val="19"/>
                <w:szCs w:val="19"/>
              </w:rPr>
              <w:t>I</w:t>
            </w:r>
          </w:p>
        </w:tc>
      </w:tr>
      <w:tr w:rsidR="00FC39D9" w14:paraId="5BAA2D7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5817A8" w14:textId="77777777" w:rsidR="00FC39D9" w:rsidRDefault="00000000">
            <w:r>
              <w:rPr>
                <w:sz w:val="19"/>
                <w:szCs w:val="19"/>
              </w:rPr>
              <w:t>IP receipt, storage, dispensing</w:t>
            </w:r>
          </w:p>
        </w:tc>
        <w:tc>
          <w:tcPr>
            <w:tcW w:w="1150" w:type="dxa"/>
            <w:shd w:val="clear" w:color="auto" w:fill="F2F2F2"/>
            <w:tcMar>
              <w:top w:w="80" w:type="dxa"/>
              <w:left w:w="100" w:type="dxa"/>
              <w:bottom w:w="80" w:type="dxa"/>
              <w:right w:w="100" w:type="dxa"/>
            </w:tcMar>
            <w:vAlign w:val="center"/>
          </w:tcPr>
          <w:p w14:paraId="159083BE" w14:textId="77777777" w:rsidR="00FC39D9" w:rsidRDefault="00000000">
            <w:r>
              <w:rPr>
                <w:sz w:val="19"/>
                <w:szCs w:val="19"/>
              </w:rPr>
              <w:t>A</w:t>
            </w:r>
          </w:p>
        </w:tc>
        <w:tc>
          <w:tcPr>
            <w:tcW w:w="1150" w:type="dxa"/>
            <w:shd w:val="clear" w:color="auto" w:fill="F2F2F2"/>
            <w:tcMar>
              <w:top w:w="80" w:type="dxa"/>
              <w:left w:w="100" w:type="dxa"/>
              <w:bottom w:w="80" w:type="dxa"/>
              <w:right w:w="100" w:type="dxa"/>
            </w:tcMar>
            <w:vAlign w:val="center"/>
          </w:tcPr>
          <w:p w14:paraId="641ABF4D"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7129DE69"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6E46627F"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1D3D81D3" w14:textId="77777777" w:rsidR="00FC39D9" w:rsidRDefault="00000000">
            <w:r>
              <w:rPr>
                <w:sz w:val="19"/>
                <w:szCs w:val="19"/>
              </w:rPr>
              <w:t>I</w:t>
            </w:r>
          </w:p>
        </w:tc>
      </w:tr>
      <w:tr w:rsidR="00FC39D9" w14:paraId="49985DC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9F9982" w14:textId="77777777" w:rsidR="00FC39D9" w:rsidRDefault="00000000">
            <w:r>
              <w:rPr>
                <w:sz w:val="19"/>
                <w:szCs w:val="19"/>
              </w:rPr>
              <w:t>IP accountability/reconciliation</w:t>
            </w:r>
          </w:p>
        </w:tc>
        <w:tc>
          <w:tcPr>
            <w:tcW w:w="1150" w:type="dxa"/>
            <w:shd w:val="clear" w:color="auto" w:fill="FFFFFF"/>
            <w:tcMar>
              <w:top w:w="80" w:type="dxa"/>
              <w:left w:w="100" w:type="dxa"/>
              <w:bottom w:w="80" w:type="dxa"/>
              <w:right w:w="100" w:type="dxa"/>
            </w:tcMar>
            <w:vAlign w:val="center"/>
          </w:tcPr>
          <w:p w14:paraId="47D0D130" w14:textId="77777777" w:rsidR="00FC39D9" w:rsidRDefault="00000000">
            <w:r>
              <w:rPr>
                <w:sz w:val="19"/>
                <w:szCs w:val="19"/>
              </w:rPr>
              <w:t>A</w:t>
            </w:r>
          </w:p>
        </w:tc>
        <w:tc>
          <w:tcPr>
            <w:tcW w:w="1150" w:type="dxa"/>
            <w:shd w:val="clear" w:color="auto" w:fill="FFFFFF"/>
            <w:tcMar>
              <w:top w:w="80" w:type="dxa"/>
              <w:left w:w="100" w:type="dxa"/>
              <w:bottom w:w="80" w:type="dxa"/>
              <w:right w:w="100" w:type="dxa"/>
            </w:tcMar>
            <w:vAlign w:val="center"/>
          </w:tcPr>
          <w:p w14:paraId="30F60AC9" w14:textId="77777777" w:rsidR="00FC39D9" w:rsidRDefault="00000000">
            <w:r>
              <w:rPr>
                <w:sz w:val="19"/>
                <w:szCs w:val="19"/>
              </w:rPr>
              <w:t>C</w:t>
            </w:r>
          </w:p>
        </w:tc>
        <w:tc>
          <w:tcPr>
            <w:tcW w:w="1150" w:type="dxa"/>
            <w:shd w:val="clear" w:color="auto" w:fill="FFFFFF"/>
            <w:tcMar>
              <w:top w:w="80" w:type="dxa"/>
              <w:left w:w="100" w:type="dxa"/>
              <w:bottom w:w="80" w:type="dxa"/>
              <w:right w:w="100" w:type="dxa"/>
            </w:tcMar>
            <w:vAlign w:val="center"/>
          </w:tcPr>
          <w:p w14:paraId="6A088D85" w14:textId="77777777" w:rsidR="00FC39D9" w:rsidRDefault="00000000">
            <w:r>
              <w:rPr>
                <w:sz w:val="19"/>
                <w:szCs w:val="19"/>
              </w:rPr>
              <w:t>R</w:t>
            </w:r>
          </w:p>
        </w:tc>
        <w:tc>
          <w:tcPr>
            <w:tcW w:w="1150" w:type="dxa"/>
            <w:shd w:val="clear" w:color="auto" w:fill="FFFFFF"/>
            <w:tcMar>
              <w:top w:w="80" w:type="dxa"/>
              <w:left w:w="100" w:type="dxa"/>
              <w:bottom w:w="80" w:type="dxa"/>
              <w:right w:w="100" w:type="dxa"/>
            </w:tcMar>
            <w:vAlign w:val="center"/>
          </w:tcPr>
          <w:p w14:paraId="652A129D"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1A18EF13" w14:textId="77777777" w:rsidR="00FC39D9" w:rsidRDefault="00000000">
            <w:r>
              <w:rPr>
                <w:sz w:val="19"/>
                <w:szCs w:val="19"/>
              </w:rPr>
              <w:t>C</w:t>
            </w:r>
          </w:p>
        </w:tc>
      </w:tr>
      <w:tr w:rsidR="00FC39D9" w14:paraId="7A15BFF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553809F" w14:textId="77777777" w:rsidR="00FC39D9" w:rsidRDefault="00000000">
            <w:r>
              <w:rPr>
                <w:sz w:val="19"/>
                <w:szCs w:val="19"/>
              </w:rPr>
              <w:t>Sample collection and processing</w:t>
            </w:r>
          </w:p>
        </w:tc>
        <w:tc>
          <w:tcPr>
            <w:tcW w:w="1150" w:type="dxa"/>
            <w:shd w:val="clear" w:color="auto" w:fill="F2F2F2"/>
            <w:tcMar>
              <w:top w:w="80" w:type="dxa"/>
              <w:left w:w="100" w:type="dxa"/>
              <w:bottom w:w="80" w:type="dxa"/>
              <w:right w:w="100" w:type="dxa"/>
            </w:tcMar>
            <w:vAlign w:val="center"/>
          </w:tcPr>
          <w:p w14:paraId="1F7A5D55"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345B4C3D"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2D888924"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6A0200C5"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69E46579" w14:textId="77777777" w:rsidR="00FC39D9" w:rsidRDefault="00000000">
            <w:r>
              <w:rPr>
                <w:sz w:val="19"/>
                <w:szCs w:val="19"/>
              </w:rPr>
              <w:t>I</w:t>
            </w:r>
          </w:p>
        </w:tc>
      </w:tr>
      <w:tr w:rsidR="00FC39D9" w14:paraId="2ECA2A2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F72BEAD" w14:textId="77777777" w:rsidR="00FC39D9" w:rsidRDefault="00000000">
            <w:r>
              <w:rPr>
                <w:sz w:val="19"/>
                <w:szCs w:val="19"/>
              </w:rPr>
              <w:t>Sample shipment / chain of custody</w:t>
            </w:r>
          </w:p>
        </w:tc>
        <w:tc>
          <w:tcPr>
            <w:tcW w:w="1150" w:type="dxa"/>
            <w:shd w:val="clear" w:color="auto" w:fill="FFFFFF"/>
            <w:tcMar>
              <w:top w:w="80" w:type="dxa"/>
              <w:left w:w="100" w:type="dxa"/>
              <w:bottom w:w="80" w:type="dxa"/>
              <w:right w:w="100" w:type="dxa"/>
            </w:tcMar>
            <w:vAlign w:val="center"/>
          </w:tcPr>
          <w:p w14:paraId="6009B934"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7012EF3B" w14:textId="77777777" w:rsidR="00FC39D9" w:rsidRDefault="00000000">
            <w:r>
              <w:rPr>
                <w:sz w:val="19"/>
                <w:szCs w:val="19"/>
              </w:rPr>
              <w:t>C</w:t>
            </w:r>
          </w:p>
        </w:tc>
        <w:tc>
          <w:tcPr>
            <w:tcW w:w="1150" w:type="dxa"/>
            <w:shd w:val="clear" w:color="auto" w:fill="FFFFFF"/>
            <w:tcMar>
              <w:top w:w="80" w:type="dxa"/>
              <w:left w:w="100" w:type="dxa"/>
              <w:bottom w:w="80" w:type="dxa"/>
              <w:right w:w="100" w:type="dxa"/>
            </w:tcMar>
            <w:vAlign w:val="center"/>
          </w:tcPr>
          <w:p w14:paraId="2170A77E"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79D64664" w14:textId="77777777" w:rsidR="00FC39D9" w:rsidRDefault="00000000">
            <w:r>
              <w:rPr>
                <w:sz w:val="19"/>
                <w:szCs w:val="19"/>
              </w:rPr>
              <w:t>R/A</w:t>
            </w:r>
          </w:p>
        </w:tc>
        <w:tc>
          <w:tcPr>
            <w:tcW w:w="1150" w:type="dxa"/>
            <w:shd w:val="clear" w:color="auto" w:fill="FFFFFF"/>
            <w:tcMar>
              <w:top w:w="80" w:type="dxa"/>
              <w:left w:w="100" w:type="dxa"/>
              <w:bottom w:w="80" w:type="dxa"/>
              <w:right w:w="100" w:type="dxa"/>
            </w:tcMar>
            <w:vAlign w:val="center"/>
          </w:tcPr>
          <w:p w14:paraId="2C575E52" w14:textId="77777777" w:rsidR="00FC39D9" w:rsidRDefault="00000000">
            <w:r>
              <w:rPr>
                <w:sz w:val="19"/>
                <w:szCs w:val="19"/>
              </w:rPr>
              <w:t>I</w:t>
            </w:r>
          </w:p>
        </w:tc>
      </w:tr>
      <w:tr w:rsidR="00FC39D9" w14:paraId="110EF2A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CC02D7B" w14:textId="77777777" w:rsidR="00FC39D9" w:rsidRDefault="00000000">
            <w:r>
              <w:rPr>
                <w:sz w:val="19"/>
                <w:szCs w:val="19"/>
              </w:rPr>
              <w:t>AE/SAE identification</w:t>
            </w:r>
          </w:p>
        </w:tc>
        <w:tc>
          <w:tcPr>
            <w:tcW w:w="1150" w:type="dxa"/>
            <w:shd w:val="clear" w:color="auto" w:fill="F2F2F2"/>
            <w:tcMar>
              <w:top w:w="80" w:type="dxa"/>
              <w:left w:w="100" w:type="dxa"/>
              <w:bottom w:w="80" w:type="dxa"/>
              <w:right w:w="100" w:type="dxa"/>
            </w:tcMar>
            <w:vAlign w:val="center"/>
          </w:tcPr>
          <w:p w14:paraId="139D7F35" w14:textId="77777777" w:rsidR="00FC39D9" w:rsidRDefault="00000000">
            <w:r>
              <w:rPr>
                <w:sz w:val="19"/>
                <w:szCs w:val="19"/>
              </w:rPr>
              <w:t>A/R</w:t>
            </w:r>
          </w:p>
        </w:tc>
        <w:tc>
          <w:tcPr>
            <w:tcW w:w="1150" w:type="dxa"/>
            <w:shd w:val="clear" w:color="auto" w:fill="F2F2F2"/>
            <w:tcMar>
              <w:top w:w="80" w:type="dxa"/>
              <w:left w:w="100" w:type="dxa"/>
              <w:bottom w:w="80" w:type="dxa"/>
              <w:right w:w="100" w:type="dxa"/>
            </w:tcMar>
            <w:vAlign w:val="center"/>
          </w:tcPr>
          <w:p w14:paraId="1C25DE96"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73D8DB29"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615C9659"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3800C83F" w14:textId="77777777" w:rsidR="00FC39D9" w:rsidRDefault="00000000">
            <w:r>
              <w:rPr>
                <w:sz w:val="19"/>
                <w:szCs w:val="19"/>
              </w:rPr>
              <w:t>I</w:t>
            </w:r>
          </w:p>
        </w:tc>
      </w:tr>
      <w:tr w:rsidR="00FC39D9" w14:paraId="3901CFB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57FBB60" w14:textId="77777777" w:rsidR="00FC39D9" w:rsidRDefault="00000000">
            <w:r>
              <w:rPr>
                <w:sz w:val="19"/>
                <w:szCs w:val="19"/>
              </w:rPr>
              <w:t>SAE reporting to PV (within 24h)</w:t>
            </w:r>
          </w:p>
        </w:tc>
        <w:tc>
          <w:tcPr>
            <w:tcW w:w="1150" w:type="dxa"/>
            <w:shd w:val="clear" w:color="auto" w:fill="FFFFFF"/>
            <w:tcMar>
              <w:top w:w="80" w:type="dxa"/>
              <w:left w:w="100" w:type="dxa"/>
              <w:bottom w:w="80" w:type="dxa"/>
              <w:right w:w="100" w:type="dxa"/>
            </w:tcMar>
            <w:vAlign w:val="center"/>
          </w:tcPr>
          <w:p w14:paraId="10440907" w14:textId="77777777" w:rsidR="00FC39D9" w:rsidRDefault="00000000">
            <w:r>
              <w:rPr>
                <w:sz w:val="19"/>
                <w:szCs w:val="19"/>
              </w:rPr>
              <w:t>A</w:t>
            </w:r>
          </w:p>
        </w:tc>
        <w:tc>
          <w:tcPr>
            <w:tcW w:w="1150" w:type="dxa"/>
            <w:shd w:val="clear" w:color="auto" w:fill="FFFFFF"/>
            <w:tcMar>
              <w:top w:w="80" w:type="dxa"/>
              <w:left w:w="100" w:type="dxa"/>
              <w:bottom w:w="80" w:type="dxa"/>
              <w:right w:w="100" w:type="dxa"/>
            </w:tcMar>
            <w:vAlign w:val="center"/>
          </w:tcPr>
          <w:p w14:paraId="1D1AF908" w14:textId="77777777" w:rsidR="00FC39D9" w:rsidRDefault="00000000">
            <w:r>
              <w:rPr>
                <w:sz w:val="19"/>
                <w:szCs w:val="19"/>
              </w:rPr>
              <w:t>R</w:t>
            </w:r>
          </w:p>
        </w:tc>
        <w:tc>
          <w:tcPr>
            <w:tcW w:w="1150" w:type="dxa"/>
            <w:shd w:val="clear" w:color="auto" w:fill="FFFFFF"/>
            <w:tcMar>
              <w:top w:w="80" w:type="dxa"/>
              <w:left w:w="100" w:type="dxa"/>
              <w:bottom w:w="80" w:type="dxa"/>
              <w:right w:w="100" w:type="dxa"/>
            </w:tcMar>
            <w:vAlign w:val="center"/>
          </w:tcPr>
          <w:p w14:paraId="2ED0772F"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0E79004C"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530D1C41" w14:textId="77777777" w:rsidR="00FC39D9" w:rsidRDefault="00000000">
            <w:r>
              <w:rPr>
                <w:sz w:val="19"/>
                <w:szCs w:val="19"/>
              </w:rPr>
              <w:t>I</w:t>
            </w:r>
          </w:p>
        </w:tc>
      </w:tr>
      <w:tr w:rsidR="00FC39D9" w14:paraId="64B7333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58B759B" w14:textId="77777777" w:rsidR="00FC39D9" w:rsidRDefault="00000000">
            <w:r>
              <w:rPr>
                <w:sz w:val="19"/>
                <w:szCs w:val="19"/>
              </w:rPr>
              <w:t>Liver safety follow-up decisions</w:t>
            </w:r>
          </w:p>
        </w:tc>
        <w:tc>
          <w:tcPr>
            <w:tcW w:w="1150" w:type="dxa"/>
            <w:shd w:val="clear" w:color="auto" w:fill="F2F2F2"/>
            <w:tcMar>
              <w:top w:w="80" w:type="dxa"/>
              <w:left w:w="100" w:type="dxa"/>
              <w:bottom w:w="80" w:type="dxa"/>
              <w:right w:w="100" w:type="dxa"/>
            </w:tcMar>
            <w:vAlign w:val="center"/>
          </w:tcPr>
          <w:p w14:paraId="222B7D06" w14:textId="77777777" w:rsidR="00FC39D9" w:rsidRDefault="00000000">
            <w:r>
              <w:rPr>
                <w:sz w:val="19"/>
                <w:szCs w:val="19"/>
              </w:rPr>
              <w:t>A/R</w:t>
            </w:r>
          </w:p>
        </w:tc>
        <w:tc>
          <w:tcPr>
            <w:tcW w:w="1150" w:type="dxa"/>
            <w:shd w:val="clear" w:color="auto" w:fill="F2F2F2"/>
            <w:tcMar>
              <w:top w:w="80" w:type="dxa"/>
              <w:left w:w="100" w:type="dxa"/>
              <w:bottom w:w="80" w:type="dxa"/>
              <w:right w:w="100" w:type="dxa"/>
            </w:tcMar>
            <w:vAlign w:val="center"/>
          </w:tcPr>
          <w:p w14:paraId="79680E1E"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27F284EB"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1DE1F421"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005F57C8" w14:textId="77777777" w:rsidR="00FC39D9" w:rsidRDefault="00000000">
            <w:r>
              <w:rPr>
                <w:sz w:val="19"/>
                <w:szCs w:val="19"/>
              </w:rPr>
              <w:t>I</w:t>
            </w:r>
          </w:p>
        </w:tc>
      </w:tr>
      <w:tr w:rsidR="00FC39D9" w14:paraId="7D5501C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334176C" w14:textId="77777777" w:rsidR="00FC39D9" w:rsidRDefault="00000000">
            <w:r>
              <w:rPr>
                <w:sz w:val="19"/>
                <w:szCs w:val="19"/>
              </w:rPr>
              <w:t>eCRF data entry</w:t>
            </w:r>
          </w:p>
        </w:tc>
        <w:tc>
          <w:tcPr>
            <w:tcW w:w="1150" w:type="dxa"/>
            <w:shd w:val="clear" w:color="auto" w:fill="FFFFFF"/>
            <w:tcMar>
              <w:top w:w="80" w:type="dxa"/>
              <w:left w:w="100" w:type="dxa"/>
              <w:bottom w:w="80" w:type="dxa"/>
              <w:right w:w="100" w:type="dxa"/>
            </w:tcMar>
            <w:vAlign w:val="center"/>
          </w:tcPr>
          <w:p w14:paraId="6073880A"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4B36C07F" w14:textId="77777777" w:rsidR="00FC39D9" w:rsidRDefault="00000000">
            <w:r>
              <w:rPr>
                <w:sz w:val="19"/>
                <w:szCs w:val="19"/>
              </w:rPr>
              <w:t>R</w:t>
            </w:r>
          </w:p>
        </w:tc>
        <w:tc>
          <w:tcPr>
            <w:tcW w:w="1150" w:type="dxa"/>
            <w:shd w:val="clear" w:color="auto" w:fill="FFFFFF"/>
            <w:tcMar>
              <w:top w:w="80" w:type="dxa"/>
              <w:left w:w="100" w:type="dxa"/>
              <w:bottom w:w="80" w:type="dxa"/>
              <w:right w:w="100" w:type="dxa"/>
            </w:tcMar>
            <w:vAlign w:val="center"/>
          </w:tcPr>
          <w:p w14:paraId="0E83B250"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6D5C694C"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0D407855" w14:textId="77777777" w:rsidR="00FC39D9" w:rsidRDefault="00000000">
            <w:r>
              <w:rPr>
                <w:sz w:val="19"/>
                <w:szCs w:val="19"/>
              </w:rPr>
              <w:t>A</w:t>
            </w:r>
          </w:p>
        </w:tc>
      </w:tr>
      <w:tr w:rsidR="00FC39D9" w14:paraId="6367067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131681D" w14:textId="77777777" w:rsidR="00FC39D9" w:rsidRDefault="00000000">
            <w:r>
              <w:rPr>
                <w:sz w:val="19"/>
                <w:szCs w:val="19"/>
              </w:rPr>
              <w:t>Query resolution</w:t>
            </w:r>
          </w:p>
        </w:tc>
        <w:tc>
          <w:tcPr>
            <w:tcW w:w="1150" w:type="dxa"/>
            <w:shd w:val="clear" w:color="auto" w:fill="F2F2F2"/>
            <w:tcMar>
              <w:top w:w="80" w:type="dxa"/>
              <w:left w:w="100" w:type="dxa"/>
              <w:bottom w:w="80" w:type="dxa"/>
              <w:right w:w="100" w:type="dxa"/>
            </w:tcMar>
            <w:vAlign w:val="center"/>
          </w:tcPr>
          <w:p w14:paraId="1F73E519"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3C28AB47" w14:textId="77777777" w:rsidR="00FC39D9" w:rsidRDefault="00000000">
            <w:r>
              <w:rPr>
                <w:sz w:val="19"/>
                <w:szCs w:val="19"/>
              </w:rPr>
              <w:t>R</w:t>
            </w:r>
          </w:p>
        </w:tc>
        <w:tc>
          <w:tcPr>
            <w:tcW w:w="1150" w:type="dxa"/>
            <w:shd w:val="clear" w:color="auto" w:fill="F2F2F2"/>
            <w:tcMar>
              <w:top w:w="80" w:type="dxa"/>
              <w:left w:w="100" w:type="dxa"/>
              <w:bottom w:w="80" w:type="dxa"/>
              <w:right w:w="100" w:type="dxa"/>
            </w:tcMar>
            <w:vAlign w:val="center"/>
          </w:tcPr>
          <w:p w14:paraId="7F3F894C"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438325E4" w14:textId="77777777" w:rsidR="00FC39D9" w:rsidRDefault="00000000">
            <w:r>
              <w:rPr>
                <w:sz w:val="19"/>
                <w:szCs w:val="19"/>
              </w:rPr>
              <w:t>I</w:t>
            </w:r>
          </w:p>
        </w:tc>
        <w:tc>
          <w:tcPr>
            <w:tcW w:w="1150" w:type="dxa"/>
            <w:shd w:val="clear" w:color="auto" w:fill="F2F2F2"/>
            <w:tcMar>
              <w:top w:w="80" w:type="dxa"/>
              <w:left w:w="100" w:type="dxa"/>
              <w:bottom w:w="80" w:type="dxa"/>
              <w:right w:w="100" w:type="dxa"/>
            </w:tcMar>
            <w:vAlign w:val="center"/>
          </w:tcPr>
          <w:p w14:paraId="19516A48" w14:textId="77777777" w:rsidR="00FC39D9" w:rsidRDefault="00000000">
            <w:r>
              <w:rPr>
                <w:sz w:val="19"/>
                <w:szCs w:val="19"/>
              </w:rPr>
              <w:t>A</w:t>
            </w:r>
          </w:p>
        </w:tc>
      </w:tr>
      <w:tr w:rsidR="00FC39D9" w14:paraId="337AD11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6F4FC2" w14:textId="77777777" w:rsidR="00FC39D9" w:rsidRDefault="00000000">
            <w:r>
              <w:rPr>
                <w:sz w:val="19"/>
                <w:szCs w:val="19"/>
              </w:rPr>
              <w:t>Protocol deviation documentation</w:t>
            </w:r>
          </w:p>
        </w:tc>
        <w:tc>
          <w:tcPr>
            <w:tcW w:w="1150" w:type="dxa"/>
            <w:shd w:val="clear" w:color="auto" w:fill="FFFFFF"/>
            <w:tcMar>
              <w:top w:w="80" w:type="dxa"/>
              <w:left w:w="100" w:type="dxa"/>
              <w:bottom w:w="80" w:type="dxa"/>
              <w:right w:w="100" w:type="dxa"/>
            </w:tcMar>
            <w:vAlign w:val="center"/>
          </w:tcPr>
          <w:p w14:paraId="03538120" w14:textId="77777777" w:rsidR="00FC39D9" w:rsidRDefault="00000000">
            <w:r>
              <w:rPr>
                <w:sz w:val="19"/>
                <w:szCs w:val="19"/>
              </w:rPr>
              <w:t>A</w:t>
            </w:r>
          </w:p>
        </w:tc>
        <w:tc>
          <w:tcPr>
            <w:tcW w:w="1150" w:type="dxa"/>
            <w:shd w:val="clear" w:color="auto" w:fill="FFFFFF"/>
            <w:tcMar>
              <w:top w:w="80" w:type="dxa"/>
              <w:left w:w="100" w:type="dxa"/>
              <w:bottom w:w="80" w:type="dxa"/>
              <w:right w:w="100" w:type="dxa"/>
            </w:tcMar>
            <w:vAlign w:val="center"/>
          </w:tcPr>
          <w:p w14:paraId="358D4C38" w14:textId="77777777" w:rsidR="00FC39D9" w:rsidRDefault="00000000">
            <w:r>
              <w:rPr>
                <w:sz w:val="19"/>
                <w:szCs w:val="19"/>
              </w:rPr>
              <w:t>R</w:t>
            </w:r>
          </w:p>
        </w:tc>
        <w:tc>
          <w:tcPr>
            <w:tcW w:w="1150" w:type="dxa"/>
            <w:shd w:val="clear" w:color="auto" w:fill="FFFFFF"/>
            <w:tcMar>
              <w:top w:w="80" w:type="dxa"/>
              <w:left w:w="100" w:type="dxa"/>
              <w:bottom w:w="80" w:type="dxa"/>
              <w:right w:w="100" w:type="dxa"/>
            </w:tcMar>
            <w:vAlign w:val="center"/>
          </w:tcPr>
          <w:p w14:paraId="08B1D589"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2959A8C3" w14:textId="77777777" w:rsidR="00FC39D9" w:rsidRDefault="00000000">
            <w:r>
              <w:rPr>
                <w:sz w:val="19"/>
                <w:szCs w:val="19"/>
              </w:rPr>
              <w:t>I</w:t>
            </w:r>
          </w:p>
        </w:tc>
        <w:tc>
          <w:tcPr>
            <w:tcW w:w="1150" w:type="dxa"/>
            <w:shd w:val="clear" w:color="auto" w:fill="FFFFFF"/>
            <w:tcMar>
              <w:top w:w="80" w:type="dxa"/>
              <w:left w:w="100" w:type="dxa"/>
              <w:bottom w:w="80" w:type="dxa"/>
              <w:right w:w="100" w:type="dxa"/>
            </w:tcMar>
            <w:vAlign w:val="center"/>
          </w:tcPr>
          <w:p w14:paraId="6FABF8F5" w14:textId="77777777" w:rsidR="00FC39D9" w:rsidRDefault="00000000">
            <w:r>
              <w:rPr>
                <w:sz w:val="19"/>
                <w:szCs w:val="19"/>
              </w:rPr>
              <w:t>C</w:t>
            </w:r>
          </w:p>
        </w:tc>
      </w:tr>
      <w:tr w:rsidR="00FC39D9" w14:paraId="64FC6AD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9B3D2B2" w14:textId="77777777" w:rsidR="00FC39D9" w:rsidRDefault="00000000">
            <w:r>
              <w:rPr>
                <w:sz w:val="19"/>
                <w:szCs w:val="19"/>
              </w:rPr>
              <w:t>Monitoring visit hosting</w:t>
            </w:r>
          </w:p>
        </w:tc>
        <w:tc>
          <w:tcPr>
            <w:tcW w:w="1150" w:type="dxa"/>
            <w:shd w:val="clear" w:color="auto" w:fill="F2F2F2"/>
            <w:tcMar>
              <w:top w:w="80" w:type="dxa"/>
              <w:left w:w="100" w:type="dxa"/>
              <w:bottom w:w="80" w:type="dxa"/>
              <w:right w:w="100" w:type="dxa"/>
            </w:tcMar>
            <w:vAlign w:val="center"/>
          </w:tcPr>
          <w:p w14:paraId="52A6B5C1"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609784B4" w14:textId="77777777" w:rsidR="00FC39D9" w:rsidRDefault="00000000">
            <w:r>
              <w:rPr>
                <w:sz w:val="19"/>
                <w:szCs w:val="19"/>
              </w:rPr>
              <w:t>R/A</w:t>
            </w:r>
          </w:p>
        </w:tc>
        <w:tc>
          <w:tcPr>
            <w:tcW w:w="1150" w:type="dxa"/>
            <w:shd w:val="clear" w:color="auto" w:fill="F2F2F2"/>
            <w:tcMar>
              <w:top w:w="80" w:type="dxa"/>
              <w:left w:w="100" w:type="dxa"/>
              <w:bottom w:w="80" w:type="dxa"/>
              <w:right w:w="100" w:type="dxa"/>
            </w:tcMar>
            <w:vAlign w:val="center"/>
          </w:tcPr>
          <w:p w14:paraId="2FCAD432"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133B3DBC" w14:textId="77777777" w:rsidR="00FC39D9" w:rsidRDefault="00000000">
            <w:r>
              <w:rPr>
                <w:sz w:val="19"/>
                <w:szCs w:val="19"/>
              </w:rPr>
              <w:t>C</w:t>
            </w:r>
          </w:p>
        </w:tc>
        <w:tc>
          <w:tcPr>
            <w:tcW w:w="1150" w:type="dxa"/>
            <w:shd w:val="clear" w:color="auto" w:fill="F2F2F2"/>
            <w:tcMar>
              <w:top w:w="80" w:type="dxa"/>
              <w:left w:w="100" w:type="dxa"/>
              <w:bottom w:w="80" w:type="dxa"/>
              <w:right w:w="100" w:type="dxa"/>
            </w:tcMar>
            <w:vAlign w:val="center"/>
          </w:tcPr>
          <w:p w14:paraId="62BC1848" w14:textId="77777777" w:rsidR="00FC39D9" w:rsidRDefault="00000000">
            <w:r>
              <w:rPr>
                <w:sz w:val="19"/>
                <w:szCs w:val="19"/>
              </w:rPr>
              <w:t>I</w:t>
            </w:r>
          </w:p>
        </w:tc>
      </w:tr>
    </w:tbl>
    <w:p w14:paraId="429B3DB4" w14:textId="77777777" w:rsidR="00FC39D9" w:rsidRDefault="00FC39D9">
      <w:pPr>
        <w:spacing w:after="140"/>
      </w:pPr>
    </w:p>
    <w:p w14:paraId="589AF170" w14:textId="77777777" w:rsidR="00FC39D9" w:rsidRDefault="00000000">
      <w:pPr>
        <w:spacing w:after="160" w:line="276" w:lineRule="auto"/>
      </w:pPr>
      <w:r>
        <w:t>A pattern worth pointing out to trainees: the coordinator is 'Responsible' for far more line items than any other role. This is realistic — the coordinator is the operational hub of the site — but it is also exactly why delegation logs, backup coverage plans, and clear escalation paths to the PI matter so much on a protocol with this many moving parts.</w:t>
      </w:r>
    </w:p>
    <w:p w14:paraId="4B2D47BA" w14:textId="77777777" w:rsidR="00FC39D9" w:rsidRDefault="00000000">
      <w:pPr>
        <w:pStyle w:val="Heading1"/>
      </w:pPr>
      <w:r>
        <w:t>9. Pharmacy Operations</w:t>
      </w:r>
    </w:p>
    <w:p w14:paraId="232595F2" w14:textId="77777777" w:rsidR="00FC39D9" w:rsidRDefault="00000000">
      <w:pPr>
        <w:spacing w:after="160" w:line="276" w:lineRule="auto"/>
      </w:pPr>
      <w:r>
        <w:t>Pharmacy operations on INITIATE-PAH are more involved than on a simple single-drug oral trial because the site is managing three products with two different assignment logics: ERA-01 and PDE5i-01 are open-</w:t>
      </w:r>
      <w:r>
        <w:lastRenderedPageBreak/>
        <w:t>label and dispensed by standard prescribing logic, while IPRA-01/placebo is IRT-assigned, blinded, and titrated on an individualized weekly schedule from Day 15 through Week 12.</w:t>
      </w:r>
    </w:p>
    <w:p w14:paraId="73F6238D" w14:textId="77777777" w:rsidR="00FC39D9" w:rsidRDefault="00000000">
      <w:pPr>
        <w:pStyle w:val="Heading2"/>
      </w:pPr>
      <w:r>
        <w:t>9.1 Storage</w:t>
      </w:r>
    </w:p>
    <w:p w14:paraId="44BED2BB" w14:textId="77777777" w:rsidR="00FC39D9" w:rsidRDefault="00000000">
      <w:pPr>
        <w:spacing w:after="160" w:line="276" w:lineRule="auto"/>
      </w:pPr>
      <w:r>
        <w:t xml:space="preserve">IP is stored in a locked, temperature-monitored area with access limited to authorized pharmacy staff. A separate, clearly </w:t>
      </w:r>
      <w:proofErr w:type="spellStart"/>
      <w:r>
        <w:t>labeled</w:t>
      </w:r>
      <w:proofErr w:type="spellEnd"/>
      <w:r>
        <w:t xml:space="preserve"> area is maintained for returns and quarantined stock (for example, product implicated in a temperature excursion) so that it cannot be accidentally re-dispensed.</w:t>
      </w:r>
    </w:p>
    <w:p w14:paraId="67A7292C" w14:textId="77777777" w:rsidR="00FC39D9" w:rsidRDefault="00000000">
      <w:pPr>
        <w:pStyle w:val="Heading2"/>
      </w:pPr>
      <w:r>
        <w:t>9.2 Dispensing Logic</w:t>
      </w:r>
    </w:p>
    <w:p w14:paraId="12E363A4" w14:textId="77777777" w:rsidR="00FC39D9" w:rsidRDefault="00000000">
      <w:pPr>
        <w:pStyle w:val="ListParagraph"/>
        <w:numPr>
          <w:ilvl w:val="0"/>
          <w:numId w:val="2"/>
        </w:numPr>
        <w:spacing w:after="90"/>
      </w:pPr>
      <w:r>
        <w:t>ERA-01 and PDE5i-01: dispensed per standard site prescribing practice, open-label, starting Day 1 (PDE5i-01 begins at 20 mg daily for 7 days, then steps to 40 mg daily as tolerated).</w:t>
      </w:r>
    </w:p>
    <w:p w14:paraId="38723836" w14:textId="77777777" w:rsidR="00FC39D9" w:rsidRDefault="00000000">
      <w:pPr>
        <w:pStyle w:val="ListParagraph"/>
        <w:numPr>
          <w:ilvl w:val="0"/>
          <w:numId w:val="2"/>
        </w:numPr>
        <w:spacing w:after="90"/>
      </w:pPr>
      <w:r>
        <w:t>IPRA-01/placebo: kit assignment comes from IRT, not from pharmacy judgment. The titration table in the protocol (200 mcg BID at Day 15, increasing in 200 mcg BID increments roughly weekly to a maximum of 1600 mcg BID by Week 12, held stable through Week 26) must be followed exactly as confirmed through IRT at each step, with temporary down-titration permitted for tolerability.</w:t>
      </w:r>
    </w:p>
    <w:p w14:paraId="10E33AD9" w14:textId="77777777" w:rsidR="00FC39D9" w:rsidRDefault="00000000">
      <w:pPr>
        <w:pStyle w:val="Heading2"/>
      </w:pPr>
      <w:r>
        <w:t>9.3 Accountability and Reconciliation</w:t>
      </w:r>
    </w:p>
    <w:p w14:paraId="78555864" w14:textId="77777777" w:rsidR="00FC39D9" w:rsidRDefault="00000000">
      <w:pPr>
        <w:spacing w:after="160" w:line="276" w:lineRule="auto"/>
      </w:pPr>
      <w:r>
        <w:t>Every receipt, dispense, return, and destruction event is logged. At each monitoring visit, accountability is reconciled against the eCRF and IRT records — a mismatch here (for example, a dispensed kit number that does not match the IRT-assigned kit number) is one of the most common and most serious findings in this type of trial, because it can call blinding integrity into question.</w:t>
      </w:r>
    </w:p>
    <w:p w14:paraId="7D2CF20E" w14:textId="77777777" w:rsidR="00FC39D9" w:rsidRDefault="00000000">
      <w:pPr>
        <w:pStyle w:val="Heading2"/>
      </w:pPr>
      <w:r>
        <w:t>9.4 Dose Adjustments for Tolerability</w:t>
      </w:r>
    </w:p>
    <w:p w14:paraId="404EFB7F" w14:textId="77777777" w:rsidR="00FC39D9" w:rsidRDefault="00000000">
      <w:pPr>
        <w:spacing w:after="160" w:line="276" w:lineRule="auto"/>
      </w:pPr>
      <w:r>
        <w:t>Hypotension, headache, and gastrointestinal adverse events are managed with a step-down titration or a temporary hold, resuming per protocol once resolved. The pharmacist and coordinator need a shared, real-time way to track where each patient currently sits on the titration table — a spreadsheet is fine early in a trial, but for a site running more than a handful of patients this quickly becomes the kind of thing best tracked inside IRT or a dedicated tracker to avoid dosing errors.</w:t>
      </w:r>
    </w:p>
    <w:p w14:paraId="31130D15" w14:textId="77777777" w:rsidR="00FC39D9" w:rsidRDefault="00000000">
      <w:pPr>
        <w:pStyle w:val="Heading1"/>
      </w:pPr>
      <w:r>
        <w:t>10. Laboratory Operations</w:t>
      </w:r>
    </w:p>
    <w:p w14:paraId="42E99F38" w14:textId="77777777" w:rsidR="00FC39D9" w:rsidRDefault="00000000">
      <w:pPr>
        <w:spacing w:after="160" w:line="276" w:lineRule="auto"/>
      </w:pPr>
      <w:r>
        <w:t xml:space="preserve">INITIATE-PAH relies on a central laboratory for the core safety and biomarker panel, with monthly liver and </w:t>
      </w:r>
      <w:proofErr w:type="spellStart"/>
      <w:r>
        <w:t>hemoglobin</w:t>
      </w:r>
      <w:proofErr w:type="spellEnd"/>
      <w:r>
        <w:t xml:space="preserve"> testing running continuously through the study regardless of visit schedule. This monthly cadence is easy to lose track of if it is not tracked separately from the main visit calendar.</w:t>
      </w:r>
    </w:p>
    <w:p w14:paraId="178DF0DA" w14:textId="77777777" w:rsidR="00FC39D9" w:rsidRDefault="00000000">
      <w:pPr>
        <w:pStyle w:val="Heading2"/>
      </w:pPr>
      <w:r>
        <w:t>10.1 What the Central Lab Covers</w:t>
      </w:r>
    </w:p>
    <w:p w14:paraId="3B5D95F1" w14:textId="77777777" w:rsidR="00FC39D9" w:rsidRDefault="00000000">
      <w:pPr>
        <w:pStyle w:val="ListParagraph"/>
        <w:numPr>
          <w:ilvl w:val="0"/>
          <w:numId w:val="2"/>
        </w:numPr>
        <w:spacing w:after="90"/>
      </w:pPr>
      <w:r>
        <w:t xml:space="preserve">General safety chemistry and </w:t>
      </w:r>
      <w:proofErr w:type="spellStart"/>
      <w:r>
        <w:t>hematology</w:t>
      </w:r>
      <w:proofErr w:type="spellEnd"/>
      <w:r>
        <w:t>, drawn at protocol-specified visits.</w:t>
      </w:r>
    </w:p>
    <w:p w14:paraId="104E019D" w14:textId="77777777" w:rsidR="00FC39D9" w:rsidRDefault="00000000">
      <w:pPr>
        <w:pStyle w:val="ListParagraph"/>
        <w:numPr>
          <w:ilvl w:val="0"/>
          <w:numId w:val="2"/>
        </w:numPr>
        <w:spacing w:after="90"/>
      </w:pPr>
      <w:r>
        <w:t xml:space="preserve">Monthly liver aminotransferases (ALT/AST), total and direct bilirubin, and </w:t>
      </w:r>
      <w:proofErr w:type="spellStart"/>
      <w:r>
        <w:t>hemoglobin</w:t>
      </w:r>
      <w:proofErr w:type="spellEnd"/>
      <w:r>
        <w:t xml:space="preserve"> — mandatory throughout the study, and can be drawn at the site, a satellite lab, or via home phlebotomy for patients who cannot easily travel.</w:t>
      </w:r>
    </w:p>
    <w:p w14:paraId="1BA0AD51" w14:textId="77777777" w:rsidR="00FC39D9" w:rsidRDefault="00000000">
      <w:pPr>
        <w:pStyle w:val="ListParagraph"/>
        <w:numPr>
          <w:ilvl w:val="0"/>
          <w:numId w:val="2"/>
        </w:numPr>
        <w:spacing w:after="90"/>
      </w:pPr>
      <w:r>
        <w:t>NT-</w:t>
      </w:r>
      <w:proofErr w:type="spellStart"/>
      <w:r>
        <w:t>proBNP</w:t>
      </w:r>
      <w:proofErr w:type="spellEnd"/>
      <w:r>
        <w:t xml:space="preserve"> biomarker sampling at defined timepoints.</w:t>
      </w:r>
    </w:p>
    <w:p w14:paraId="7E25C8A0" w14:textId="77777777" w:rsidR="00FC39D9" w:rsidRDefault="00000000">
      <w:pPr>
        <w:pStyle w:val="ListParagraph"/>
        <w:numPr>
          <w:ilvl w:val="0"/>
          <w:numId w:val="2"/>
        </w:numPr>
        <w:spacing w:after="90"/>
      </w:pPr>
      <w:r>
        <w:lastRenderedPageBreak/>
        <w:t>Coagulation testing as part of the general safety panel.</w:t>
      </w:r>
    </w:p>
    <w:p w14:paraId="0A8E97EA" w14:textId="77777777" w:rsidR="00FC39D9" w:rsidRDefault="00000000">
      <w:pPr>
        <w:pStyle w:val="Heading2"/>
      </w:pPr>
      <w:r>
        <w:t>10.2 Liver Safety Follow-Up — Operational Sequence</w:t>
      </w:r>
    </w:p>
    <w:p w14:paraId="1B66B42B" w14:textId="77777777" w:rsidR="00FC39D9" w:rsidRDefault="00000000">
      <w:pPr>
        <w:spacing w:after="160" w:line="276" w:lineRule="auto"/>
      </w:pPr>
      <w:r>
        <w:t>This is one of the most operationally important algorithms in the protocol, and every coordinator on this study should be able to walk through it without looking it up:</w:t>
      </w:r>
    </w:p>
    <w:p w14:paraId="4E1A8606" w14:textId="77777777" w:rsidR="00FC39D9" w:rsidRDefault="00000000">
      <w:pPr>
        <w:pStyle w:val="ListParagraph"/>
        <w:numPr>
          <w:ilvl w:val="0"/>
          <w:numId w:val="3"/>
        </w:numPr>
        <w:spacing w:after="90"/>
      </w:pPr>
      <w:r>
        <w:t>If ALT or AST is confirmed above 3× the upper limit of normal (ULN), repeat testing within 48–72 hours and add bilirubin and ALP; assess the patient for symptoms.</w:t>
      </w:r>
    </w:p>
    <w:p w14:paraId="6A947B0E" w14:textId="77777777" w:rsidR="00FC39D9" w:rsidRDefault="00000000">
      <w:pPr>
        <w:pStyle w:val="ListParagraph"/>
        <w:numPr>
          <w:ilvl w:val="0"/>
          <w:numId w:val="3"/>
        </w:numPr>
        <w:spacing w:after="90"/>
      </w:pPr>
      <w:r>
        <w:t>If ALT or AST exceeds 5× ULN, or ALT/AST exceeds 3× ULN together with bilirubin above 2× ULN without evidence of cholestasis, study drugs are held, monitoring frequency is increased, a Hy's Law evaluation is considered, and the event is reported as an SAE if criteria are met.</w:t>
      </w:r>
    </w:p>
    <w:p w14:paraId="5D41B0FC" w14:textId="77777777" w:rsidR="00FC39D9" w:rsidRDefault="00000000">
      <w:pPr>
        <w:pStyle w:val="ListParagraph"/>
        <w:numPr>
          <w:ilvl w:val="0"/>
          <w:numId w:val="3"/>
        </w:numPr>
        <w:spacing w:after="90"/>
      </w:pPr>
      <w:r>
        <w:t>Dosing resumes once values improve to below 3× ULN and the patient is asymptomatic.</w:t>
      </w:r>
    </w:p>
    <w:p w14:paraId="3C2F98C7" w14:textId="77777777" w:rsidR="00FC39D9" w:rsidRDefault="00000000">
      <w:pPr>
        <w:spacing w:after="160" w:line="276" w:lineRule="auto"/>
      </w:pPr>
      <w:r>
        <w:t>Because this sequence has hard deadlines (48–72 hours for repeat testing) and directly affects IP dosing, it should be built into site training as a standalone module, not folded quietly into general safety training.</w:t>
      </w:r>
    </w:p>
    <w:p w14:paraId="0904CCFC" w14:textId="77777777" w:rsidR="00FC39D9" w:rsidRDefault="00000000">
      <w:pPr>
        <w:pStyle w:val="Heading2"/>
      </w:pPr>
      <w:r>
        <w:t>10.3 Sample Handling and Shipment</w:t>
      </w:r>
    </w:p>
    <w:p w14:paraId="183885FD" w14:textId="77777777" w:rsidR="00FC39D9" w:rsidRDefault="00000000">
      <w:pPr>
        <w:spacing w:after="160" w:line="276" w:lineRule="auto"/>
      </w:pPr>
      <w:r>
        <w:t>Site facilities need a centrifuge, appropriate ambient/4°C temporary storage, and a −20°C freezer for aliquots, along with shipping supplies and a reliable courier relationship for ambient lab shipments. Chain-of-custody documentation should travel with every shipment, and any temperature excursion in storage or transit needs to be logged and reported to the central lab and sponsor promptly, since it can affect sample validity.</w:t>
      </w:r>
    </w:p>
    <w:p w14:paraId="4B78F55B" w14:textId="77777777" w:rsidR="00FC39D9" w:rsidRDefault="00000000">
      <w:pPr>
        <w:pStyle w:val="Heading2"/>
      </w:pPr>
      <w:r>
        <w:t>10.4 Local vs. Central Testing at Screening</w:t>
      </w:r>
    </w:p>
    <w:p w14:paraId="7A69719B" w14:textId="77777777" w:rsidR="00FC39D9" w:rsidRDefault="00000000">
      <w:pPr>
        <w:spacing w:after="160" w:line="276" w:lineRule="auto"/>
      </w:pPr>
      <w:r>
        <w:t>The protocol allows local laboratory testing at screening as an alternative to central lab turnaround time, provided the central lab kit is drawn in parallel and all local results (with local normal ranges) are entered in the eCRF. This is a useful option for confirming eligibility quickly, but the parallel central draw cannot be skipped.</w:t>
      </w:r>
    </w:p>
    <w:p w14:paraId="3A384770" w14:textId="77777777" w:rsidR="00FC39D9" w:rsidRDefault="00000000">
      <w:pPr>
        <w:pStyle w:val="Heading1"/>
      </w:pPr>
      <w:r>
        <w:t>11. Vendor Management</w:t>
      </w:r>
    </w:p>
    <w:p w14:paraId="1C195E8B" w14:textId="77777777" w:rsidR="00FC39D9" w:rsidRDefault="00000000">
      <w:pPr>
        <w:spacing w:after="160" w:line="276" w:lineRule="auto"/>
      </w:pPr>
      <w:r>
        <w:t>A trial of this complexity runs on a network of vendors, and the site-facing operations team needs a working relationship with each one, even though most vendor contracts sit at the sponsor or CRO level rather than the site level.</w:t>
      </w:r>
    </w:p>
    <w:tbl>
      <w:tblPr>
        <w:tblW w:w="9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2200"/>
        <w:gridCol w:w="4600"/>
        <w:gridCol w:w="2700"/>
      </w:tblGrid>
      <w:tr w:rsidR="00FC39D9" w14:paraId="3ADFC91D" w14:textId="77777777">
        <w:tblPrEx>
          <w:tblCellMar>
            <w:top w:w="0" w:type="dxa"/>
            <w:bottom w:w="0" w:type="dxa"/>
          </w:tblCellMar>
        </w:tblPrEx>
        <w:trPr>
          <w:tblHeader/>
        </w:trPr>
        <w:tc>
          <w:tcPr>
            <w:tcW w:w="2200" w:type="dxa"/>
            <w:shd w:val="clear" w:color="auto" w:fill="44546A"/>
            <w:tcMar>
              <w:top w:w="80" w:type="dxa"/>
              <w:left w:w="100" w:type="dxa"/>
              <w:bottom w:w="80" w:type="dxa"/>
              <w:right w:w="100" w:type="dxa"/>
            </w:tcMar>
            <w:vAlign w:val="center"/>
          </w:tcPr>
          <w:p w14:paraId="144CBF95" w14:textId="77777777" w:rsidR="00FC39D9" w:rsidRDefault="00000000">
            <w:r>
              <w:rPr>
                <w:b/>
                <w:bCs/>
                <w:color w:val="FFFFFF"/>
                <w:sz w:val="19"/>
                <w:szCs w:val="19"/>
              </w:rPr>
              <w:t>Vendor</w:t>
            </w:r>
          </w:p>
        </w:tc>
        <w:tc>
          <w:tcPr>
            <w:tcW w:w="4600" w:type="dxa"/>
            <w:shd w:val="clear" w:color="auto" w:fill="44546A"/>
            <w:tcMar>
              <w:top w:w="80" w:type="dxa"/>
              <w:left w:w="100" w:type="dxa"/>
              <w:bottom w:w="80" w:type="dxa"/>
              <w:right w:w="100" w:type="dxa"/>
            </w:tcMar>
            <w:vAlign w:val="center"/>
          </w:tcPr>
          <w:p w14:paraId="5F5E7CBC" w14:textId="77777777" w:rsidR="00FC39D9" w:rsidRDefault="00000000">
            <w:r>
              <w:rPr>
                <w:b/>
                <w:bCs/>
                <w:color w:val="FFFFFF"/>
                <w:sz w:val="19"/>
                <w:szCs w:val="19"/>
              </w:rPr>
              <w:t>Role in the Study</w:t>
            </w:r>
          </w:p>
        </w:tc>
        <w:tc>
          <w:tcPr>
            <w:tcW w:w="2700" w:type="dxa"/>
            <w:shd w:val="clear" w:color="auto" w:fill="44546A"/>
            <w:tcMar>
              <w:top w:w="80" w:type="dxa"/>
              <w:left w:w="100" w:type="dxa"/>
              <w:bottom w:w="80" w:type="dxa"/>
              <w:right w:w="100" w:type="dxa"/>
            </w:tcMar>
            <w:vAlign w:val="center"/>
          </w:tcPr>
          <w:p w14:paraId="46E42EAF" w14:textId="77777777" w:rsidR="00FC39D9" w:rsidRDefault="00000000">
            <w:r>
              <w:rPr>
                <w:b/>
                <w:bCs/>
                <w:color w:val="FFFFFF"/>
                <w:sz w:val="19"/>
                <w:szCs w:val="19"/>
              </w:rPr>
              <w:t>Site-Level Touchpoint</w:t>
            </w:r>
          </w:p>
        </w:tc>
      </w:tr>
      <w:tr w:rsidR="00FC39D9" w14:paraId="72CE06C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63339B3" w14:textId="77777777" w:rsidR="00FC39D9" w:rsidRDefault="00000000">
            <w:r>
              <w:rPr>
                <w:sz w:val="19"/>
                <w:szCs w:val="19"/>
              </w:rPr>
              <w:t>Central Laboratory</w:t>
            </w:r>
          </w:p>
        </w:tc>
        <w:tc>
          <w:tcPr>
            <w:tcW w:w="4600" w:type="dxa"/>
            <w:shd w:val="clear" w:color="auto" w:fill="FFFFFF"/>
            <w:tcMar>
              <w:top w:w="80" w:type="dxa"/>
              <w:left w:w="100" w:type="dxa"/>
              <w:bottom w:w="80" w:type="dxa"/>
              <w:right w:w="100" w:type="dxa"/>
            </w:tcMar>
            <w:vAlign w:val="center"/>
          </w:tcPr>
          <w:p w14:paraId="66394B89" w14:textId="77777777" w:rsidR="00FC39D9" w:rsidRDefault="00000000">
            <w:r>
              <w:rPr>
                <w:sz w:val="19"/>
                <w:szCs w:val="19"/>
              </w:rPr>
              <w:t>Kit supply, sample analysis, results reporting</w:t>
            </w:r>
          </w:p>
        </w:tc>
        <w:tc>
          <w:tcPr>
            <w:tcW w:w="2700" w:type="dxa"/>
            <w:shd w:val="clear" w:color="auto" w:fill="FFFFFF"/>
            <w:tcMar>
              <w:top w:w="80" w:type="dxa"/>
              <w:left w:w="100" w:type="dxa"/>
              <w:bottom w:w="80" w:type="dxa"/>
              <w:right w:w="100" w:type="dxa"/>
            </w:tcMar>
            <w:vAlign w:val="center"/>
          </w:tcPr>
          <w:p w14:paraId="3F13B9DC" w14:textId="77777777" w:rsidR="00FC39D9" w:rsidRDefault="00000000">
            <w:r>
              <w:rPr>
                <w:sz w:val="19"/>
                <w:szCs w:val="19"/>
              </w:rPr>
              <w:t>Kit ordering, requisitions, shipment scheduling</w:t>
            </w:r>
          </w:p>
        </w:tc>
      </w:tr>
      <w:tr w:rsidR="00FC39D9" w14:paraId="1DAD1CD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4E63883" w14:textId="77777777" w:rsidR="00FC39D9" w:rsidRDefault="00000000">
            <w:r>
              <w:rPr>
                <w:sz w:val="19"/>
                <w:szCs w:val="19"/>
              </w:rPr>
              <w:t>IRT / IWRS</w:t>
            </w:r>
          </w:p>
        </w:tc>
        <w:tc>
          <w:tcPr>
            <w:tcW w:w="4600" w:type="dxa"/>
            <w:shd w:val="clear" w:color="auto" w:fill="F2F2F2"/>
            <w:tcMar>
              <w:top w:w="80" w:type="dxa"/>
              <w:left w:w="100" w:type="dxa"/>
              <w:bottom w:w="80" w:type="dxa"/>
              <w:right w:w="100" w:type="dxa"/>
            </w:tcMar>
            <w:vAlign w:val="center"/>
          </w:tcPr>
          <w:p w14:paraId="6F12D320" w14:textId="77777777" w:rsidR="00FC39D9" w:rsidRDefault="00000000">
            <w:r>
              <w:rPr>
                <w:sz w:val="19"/>
                <w:szCs w:val="19"/>
              </w:rPr>
              <w:t>Randomization, kit assignment, titration tracking, emergency unblinding</w:t>
            </w:r>
          </w:p>
        </w:tc>
        <w:tc>
          <w:tcPr>
            <w:tcW w:w="2700" w:type="dxa"/>
            <w:shd w:val="clear" w:color="auto" w:fill="F2F2F2"/>
            <w:tcMar>
              <w:top w:w="80" w:type="dxa"/>
              <w:left w:w="100" w:type="dxa"/>
              <w:bottom w:w="80" w:type="dxa"/>
              <w:right w:w="100" w:type="dxa"/>
            </w:tcMar>
            <w:vAlign w:val="center"/>
          </w:tcPr>
          <w:p w14:paraId="403A7527" w14:textId="77777777" w:rsidR="00FC39D9" w:rsidRDefault="00000000">
            <w:r>
              <w:rPr>
                <w:sz w:val="19"/>
                <w:szCs w:val="19"/>
              </w:rPr>
              <w:t xml:space="preserve">Daily use for </w:t>
            </w:r>
            <w:proofErr w:type="spellStart"/>
            <w:r>
              <w:rPr>
                <w:sz w:val="19"/>
                <w:szCs w:val="19"/>
              </w:rPr>
              <w:t>enrollment</w:t>
            </w:r>
            <w:proofErr w:type="spellEnd"/>
            <w:r>
              <w:rPr>
                <w:sz w:val="19"/>
                <w:szCs w:val="19"/>
              </w:rPr>
              <w:t>, dispensing, and titration confirmation</w:t>
            </w:r>
          </w:p>
        </w:tc>
      </w:tr>
      <w:tr w:rsidR="00FC39D9" w14:paraId="7187BC1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537CBAF" w14:textId="77777777" w:rsidR="00FC39D9" w:rsidRDefault="00000000">
            <w:r>
              <w:rPr>
                <w:sz w:val="19"/>
                <w:szCs w:val="19"/>
              </w:rPr>
              <w:t>Courier (ambient)</w:t>
            </w:r>
          </w:p>
        </w:tc>
        <w:tc>
          <w:tcPr>
            <w:tcW w:w="4600" w:type="dxa"/>
            <w:shd w:val="clear" w:color="auto" w:fill="FFFFFF"/>
            <w:tcMar>
              <w:top w:w="80" w:type="dxa"/>
              <w:left w:w="100" w:type="dxa"/>
              <w:bottom w:w="80" w:type="dxa"/>
              <w:right w:w="100" w:type="dxa"/>
            </w:tcMar>
            <w:vAlign w:val="center"/>
          </w:tcPr>
          <w:p w14:paraId="188DA3D0" w14:textId="77777777" w:rsidR="00FC39D9" w:rsidRDefault="00000000">
            <w:r>
              <w:rPr>
                <w:sz w:val="19"/>
                <w:szCs w:val="19"/>
              </w:rPr>
              <w:t>Transport of lab shipments to central lab</w:t>
            </w:r>
          </w:p>
        </w:tc>
        <w:tc>
          <w:tcPr>
            <w:tcW w:w="2700" w:type="dxa"/>
            <w:shd w:val="clear" w:color="auto" w:fill="FFFFFF"/>
            <w:tcMar>
              <w:top w:w="80" w:type="dxa"/>
              <w:left w:w="100" w:type="dxa"/>
              <w:bottom w:w="80" w:type="dxa"/>
              <w:right w:w="100" w:type="dxa"/>
            </w:tcMar>
            <w:vAlign w:val="center"/>
          </w:tcPr>
          <w:p w14:paraId="0CD20EA0" w14:textId="77777777" w:rsidR="00FC39D9" w:rsidRDefault="00000000">
            <w:r>
              <w:rPr>
                <w:sz w:val="19"/>
                <w:szCs w:val="19"/>
              </w:rPr>
              <w:t>Pick-up scheduling, shipment tracking</w:t>
            </w:r>
          </w:p>
        </w:tc>
      </w:tr>
      <w:tr w:rsidR="00FC39D9" w14:paraId="65D9882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F48498C" w14:textId="77777777" w:rsidR="00FC39D9" w:rsidRDefault="00000000">
            <w:r>
              <w:rPr>
                <w:sz w:val="19"/>
                <w:szCs w:val="19"/>
              </w:rPr>
              <w:lastRenderedPageBreak/>
              <w:t>Home Health / Phlebotomy</w:t>
            </w:r>
          </w:p>
        </w:tc>
        <w:tc>
          <w:tcPr>
            <w:tcW w:w="4600" w:type="dxa"/>
            <w:shd w:val="clear" w:color="auto" w:fill="F2F2F2"/>
            <w:tcMar>
              <w:top w:w="80" w:type="dxa"/>
              <w:left w:w="100" w:type="dxa"/>
              <w:bottom w:w="80" w:type="dxa"/>
              <w:right w:w="100" w:type="dxa"/>
            </w:tcMar>
            <w:vAlign w:val="center"/>
          </w:tcPr>
          <w:p w14:paraId="133A75E0" w14:textId="77777777" w:rsidR="00FC39D9" w:rsidRDefault="00000000">
            <w:r>
              <w:rPr>
                <w:sz w:val="19"/>
                <w:szCs w:val="19"/>
              </w:rPr>
              <w:t>Optional draws for participants unable to travel monthly</w:t>
            </w:r>
          </w:p>
        </w:tc>
        <w:tc>
          <w:tcPr>
            <w:tcW w:w="2700" w:type="dxa"/>
            <w:shd w:val="clear" w:color="auto" w:fill="F2F2F2"/>
            <w:tcMar>
              <w:top w:w="80" w:type="dxa"/>
              <w:left w:w="100" w:type="dxa"/>
              <w:bottom w:w="80" w:type="dxa"/>
              <w:right w:w="100" w:type="dxa"/>
            </w:tcMar>
            <w:vAlign w:val="center"/>
          </w:tcPr>
          <w:p w14:paraId="44C8C926" w14:textId="77777777" w:rsidR="00FC39D9" w:rsidRDefault="00000000">
            <w:r>
              <w:rPr>
                <w:sz w:val="19"/>
                <w:szCs w:val="19"/>
              </w:rPr>
              <w:t>Coordinator schedules visits, confirms results are received</w:t>
            </w:r>
          </w:p>
        </w:tc>
      </w:tr>
      <w:tr w:rsidR="00FC39D9" w14:paraId="4246B7B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54A0A3A" w14:textId="77777777" w:rsidR="00FC39D9" w:rsidRDefault="00000000">
            <w:r>
              <w:rPr>
                <w:sz w:val="19"/>
                <w:szCs w:val="19"/>
              </w:rPr>
              <w:t>EDC Provider</w:t>
            </w:r>
          </w:p>
        </w:tc>
        <w:tc>
          <w:tcPr>
            <w:tcW w:w="4600" w:type="dxa"/>
            <w:shd w:val="clear" w:color="auto" w:fill="FFFFFF"/>
            <w:tcMar>
              <w:top w:w="80" w:type="dxa"/>
              <w:left w:w="100" w:type="dxa"/>
              <w:bottom w:w="80" w:type="dxa"/>
              <w:right w:w="100" w:type="dxa"/>
            </w:tcMar>
            <w:vAlign w:val="center"/>
          </w:tcPr>
          <w:p w14:paraId="647731C7" w14:textId="77777777" w:rsidR="00FC39D9" w:rsidRDefault="00000000">
            <w:r>
              <w:rPr>
                <w:sz w:val="19"/>
                <w:szCs w:val="19"/>
              </w:rPr>
              <w:t>Electronic case report form platform</w:t>
            </w:r>
          </w:p>
        </w:tc>
        <w:tc>
          <w:tcPr>
            <w:tcW w:w="2700" w:type="dxa"/>
            <w:shd w:val="clear" w:color="auto" w:fill="FFFFFF"/>
            <w:tcMar>
              <w:top w:w="80" w:type="dxa"/>
              <w:left w:w="100" w:type="dxa"/>
              <w:bottom w:w="80" w:type="dxa"/>
              <w:right w:w="100" w:type="dxa"/>
            </w:tcMar>
            <w:vAlign w:val="center"/>
          </w:tcPr>
          <w:p w14:paraId="4BBD8FE9" w14:textId="77777777" w:rsidR="00FC39D9" w:rsidRDefault="00000000">
            <w:r>
              <w:rPr>
                <w:sz w:val="19"/>
                <w:szCs w:val="19"/>
              </w:rPr>
              <w:t>Data entry, query resolution, audit trail</w:t>
            </w:r>
          </w:p>
        </w:tc>
      </w:tr>
      <w:tr w:rsidR="00FC39D9" w14:paraId="1145850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E028155" w14:textId="77777777" w:rsidR="00FC39D9" w:rsidRDefault="00000000">
            <w:r>
              <w:rPr>
                <w:sz w:val="19"/>
                <w:szCs w:val="19"/>
              </w:rPr>
              <w:t>Pharmacovigilance (PV) Vendor/Portal</w:t>
            </w:r>
          </w:p>
        </w:tc>
        <w:tc>
          <w:tcPr>
            <w:tcW w:w="4600" w:type="dxa"/>
            <w:shd w:val="clear" w:color="auto" w:fill="F2F2F2"/>
            <w:tcMar>
              <w:top w:w="80" w:type="dxa"/>
              <w:left w:w="100" w:type="dxa"/>
              <w:bottom w:w="80" w:type="dxa"/>
              <w:right w:w="100" w:type="dxa"/>
            </w:tcMar>
            <w:vAlign w:val="center"/>
          </w:tcPr>
          <w:p w14:paraId="312866E8" w14:textId="77777777" w:rsidR="00FC39D9" w:rsidRDefault="00000000">
            <w:r>
              <w:rPr>
                <w:sz w:val="19"/>
                <w:szCs w:val="19"/>
              </w:rPr>
              <w:t>SAE intake and processing</w:t>
            </w:r>
          </w:p>
        </w:tc>
        <w:tc>
          <w:tcPr>
            <w:tcW w:w="2700" w:type="dxa"/>
            <w:shd w:val="clear" w:color="auto" w:fill="F2F2F2"/>
            <w:tcMar>
              <w:top w:w="80" w:type="dxa"/>
              <w:left w:w="100" w:type="dxa"/>
              <w:bottom w:w="80" w:type="dxa"/>
              <w:right w:w="100" w:type="dxa"/>
            </w:tcMar>
            <w:vAlign w:val="center"/>
          </w:tcPr>
          <w:p w14:paraId="7600A1A1" w14:textId="77777777" w:rsidR="00FC39D9" w:rsidRDefault="00000000">
            <w:r>
              <w:rPr>
                <w:sz w:val="19"/>
                <w:szCs w:val="19"/>
              </w:rPr>
              <w:t>24-hour SAE submission</w:t>
            </w:r>
          </w:p>
        </w:tc>
      </w:tr>
    </w:tbl>
    <w:p w14:paraId="330DABAC" w14:textId="77777777" w:rsidR="00FC39D9" w:rsidRDefault="00FC39D9">
      <w:pPr>
        <w:spacing w:after="140"/>
      </w:pPr>
    </w:p>
    <w:p w14:paraId="2E7FB390" w14:textId="77777777" w:rsidR="00FC39D9" w:rsidRDefault="00000000">
      <w:pPr>
        <w:spacing w:after="160" w:line="276" w:lineRule="auto"/>
      </w:pPr>
      <w:r>
        <w:t>The practical skill here is knowing which vendor to call for which problem — a missing lab kit is a central lab issue, a randomization error is an IRT issue, and a late SAE acknowledgment is a PV portal issue. New coordinators often route everything through the monitor by default; building direct vendor contact familiarity during start-up saves time once the site is enrolling.</w:t>
      </w:r>
    </w:p>
    <w:p w14:paraId="74185920" w14:textId="77777777" w:rsidR="00FC39D9" w:rsidRDefault="00000000">
      <w:pPr>
        <w:pStyle w:val="Heading1"/>
      </w:pPr>
      <w:r>
        <w:t>12. Data Management</w:t>
      </w:r>
    </w:p>
    <w:p w14:paraId="65201B35" w14:textId="77777777" w:rsidR="00FC39D9" w:rsidRDefault="00000000">
      <w:pPr>
        <w:spacing w:after="160" w:line="276" w:lineRule="auto"/>
      </w:pPr>
      <w:r>
        <w:t>Good data management is less about typing fast into the EDC and more about a disciplined chain from what actually happened with the patient to what is recorded in the system. This chapter walks through that chain.</w:t>
      </w:r>
    </w:p>
    <w:p w14:paraId="1BC0A064" w14:textId="77777777" w:rsidR="00FC39D9" w:rsidRDefault="00000000">
      <w:pPr>
        <w:pStyle w:val="Heading2"/>
      </w:pPr>
      <w:r>
        <w:t>12.1 Source Documentation</w:t>
      </w:r>
    </w:p>
    <w:p w14:paraId="47D5D187" w14:textId="77777777" w:rsidR="00FC39D9" w:rsidRDefault="00000000">
      <w:pPr>
        <w:spacing w:after="160" w:line="276" w:lineRule="auto"/>
      </w:pPr>
      <w:r>
        <w:t>Source is the first place a piece of data is recorded — a nursing note, an RHC printout, a lab report, a signed ICF. It must be contemporaneous, attributable, legible, original (or a certified copy), accurate, and complete — the ALCOA+ principle. For INITIATE-PAH, source includes RHC reports, 6MWT worksheets, WHO FC assessment notes, IP dispensing logs, and the weekly titration phone call notes.</w:t>
      </w:r>
    </w:p>
    <w:p w14:paraId="70D40088" w14:textId="77777777" w:rsidR="00FC39D9" w:rsidRDefault="00000000">
      <w:pPr>
        <w:pStyle w:val="Heading2"/>
      </w:pPr>
      <w:r>
        <w:t>12.2 eCRF and EDC</w:t>
      </w:r>
    </w:p>
    <w:p w14:paraId="10254F1B" w14:textId="77777777" w:rsidR="00FC39D9" w:rsidRDefault="00000000">
      <w:pPr>
        <w:spacing w:after="160" w:line="276" w:lineRule="auto"/>
      </w:pPr>
      <w:r>
        <w:t>The eCRF is the study-specific case report form built inside the EDC platform. Data entered into the eCRF must be transcribed from source, not invented at the point of entry. The EDC applies real-time edit checks, keeps a full audit trail of every change, and manages the query workflow between site and monitor/data manager.</w:t>
      </w:r>
    </w:p>
    <w:p w14:paraId="02586F4B" w14:textId="77777777" w:rsidR="00FC39D9" w:rsidRDefault="00000000">
      <w:pPr>
        <w:pStyle w:val="Heading2"/>
      </w:pPr>
      <w:r>
        <w:t>12.3 Queries</w:t>
      </w:r>
    </w:p>
    <w:p w14:paraId="15B2315E" w14:textId="77777777" w:rsidR="00FC39D9" w:rsidRDefault="00000000">
      <w:pPr>
        <w:spacing w:after="160" w:line="276" w:lineRule="auto"/>
      </w:pPr>
      <w:r>
        <w:t>A query is raised when data looks incomplete, inconsistent, or out of range — for example, a Week 26 visit date that falls outside the ±14-day window, or a WHO FC value that does not match what is documented in source. The coordinator's job is to resolve the query against source, not just to make the system accept a value. Query aging (how long a query sits open) is one of the metrics monitors and data managers watch closely.</w:t>
      </w:r>
    </w:p>
    <w:p w14:paraId="701CA190" w14:textId="77777777" w:rsidR="00FC39D9" w:rsidRDefault="00000000">
      <w:pPr>
        <w:pStyle w:val="Heading2"/>
      </w:pPr>
      <w:r>
        <w:t>12.4 Monitoring — Data Role</w:t>
      </w:r>
    </w:p>
    <w:p w14:paraId="156F0DEC" w14:textId="77777777" w:rsidR="00FC39D9" w:rsidRDefault="00000000">
      <w:pPr>
        <w:spacing w:after="160" w:line="276" w:lineRule="auto"/>
      </w:pPr>
      <w:r>
        <w:lastRenderedPageBreak/>
        <w:t>Monitors perform source data verification (SDV) and, on many current studies, risk-based monitoring (RBM) that focuses attention on critical data and processes — eligibility, IP exposure, primary and secondary endpoint data, safety reporting, pregnancy testing, and visit-window adherence. Monitoring visits are also where accountability logs, delegation logs, and training records are checked against what the eCRF and IRT show.</w:t>
      </w:r>
    </w:p>
    <w:p w14:paraId="6075CCE8" w14:textId="77777777" w:rsidR="00FC39D9" w:rsidRDefault="00000000">
      <w:pPr>
        <w:pStyle w:val="Heading2"/>
      </w:pPr>
      <w:r>
        <w:t>12.5 Database Lock</w:t>
      </w:r>
    </w:p>
    <w:p w14:paraId="2242C6A3" w14:textId="77777777" w:rsidR="00FC39D9" w:rsidRDefault="00000000">
      <w:pPr>
        <w:spacing w:after="160" w:line="276" w:lineRule="auto"/>
      </w:pPr>
      <w:r>
        <w:t>Database lock happens once all data is entered, all queries are closed, SDV/RBM activities are complete, and the data has been reviewed and signed off by the relevant parties (data management, biostatistics, medical monitor). After lock, no further changes are made to the dataset without a formal, documented unlock process. For a site, this means the real deadline is not the Week 26 visit — it is having every open query on every patient resolved well before the sponsor's planned lock date.</w:t>
      </w:r>
    </w:p>
    <w:p w14:paraId="76CB1355" w14:textId="77777777" w:rsidR="00FC39D9" w:rsidRDefault="00000000">
      <w:pPr>
        <w:pStyle w:val="Heading1"/>
      </w:pPr>
      <w:r>
        <w:t>13. Risk Register</w:t>
      </w:r>
    </w:p>
    <w:p w14:paraId="67B1A5F4" w14:textId="77777777" w:rsidR="00FC39D9" w:rsidRDefault="00000000">
      <w:pPr>
        <w:spacing w:after="160" w:line="276" w:lineRule="auto"/>
      </w:pPr>
      <w:r>
        <w:t>A risk register is a living document, reviewed regularly at site and study level, not a one-time exercise done at start-up and then filed away. The entries below are realistic examples for a study like INITIATE-PAH, not an exhaustive list.</w:t>
      </w:r>
    </w:p>
    <w:tbl>
      <w:tblPr>
        <w:tblW w:w="8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1873"/>
        <w:gridCol w:w="1698"/>
        <w:gridCol w:w="1102"/>
        <w:gridCol w:w="995"/>
        <w:gridCol w:w="2832"/>
      </w:tblGrid>
      <w:tr w:rsidR="00FC39D9" w14:paraId="0FB34C0D" w14:textId="77777777">
        <w:tblPrEx>
          <w:tblCellMar>
            <w:top w:w="0" w:type="dxa"/>
            <w:bottom w:w="0" w:type="dxa"/>
          </w:tblCellMar>
        </w:tblPrEx>
        <w:trPr>
          <w:tblHeader/>
        </w:trPr>
        <w:tc>
          <w:tcPr>
            <w:tcW w:w="1900" w:type="dxa"/>
            <w:shd w:val="clear" w:color="auto" w:fill="44546A"/>
            <w:tcMar>
              <w:top w:w="80" w:type="dxa"/>
              <w:left w:w="100" w:type="dxa"/>
              <w:bottom w:w="80" w:type="dxa"/>
              <w:right w:w="100" w:type="dxa"/>
            </w:tcMar>
            <w:vAlign w:val="center"/>
          </w:tcPr>
          <w:p w14:paraId="25386812" w14:textId="77777777" w:rsidR="00FC39D9" w:rsidRDefault="00000000">
            <w:r>
              <w:rPr>
                <w:b/>
                <w:bCs/>
                <w:color w:val="FFFFFF"/>
                <w:sz w:val="19"/>
                <w:szCs w:val="19"/>
              </w:rPr>
              <w:t>Risk</w:t>
            </w:r>
          </w:p>
        </w:tc>
        <w:tc>
          <w:tcPr>
            <w:tcW w:w="1700" w:type="dxa"/>
            <w:shd w:val="clear" w:color="auto" w:fill="44546A"/>
            <w:tcMar>
              <w:top w:w="80" w:type="dxa"/>
              <w:left w:w="100" w:type="dxa"/>
              <w:bottom w:w="80" w:type="dxa"/>
              <w:right w:w="100" w:type="dxa"/>
            </w:tcMar>
            <w:vAlign w:val="center"/>
          </w:tcPr>
          <w:p w14:paraId="7FFD39A0" w14:textId="77777777" w:rsidR="00FC39D9" w:rsidRDefault="00000000">
            <w:r>
              <w:rPr>
                <w:b/>
                <w:bCs/>
                <w:color w:val="FFFFFF"/>
                <w:sz w:val="19"/>
                <w:szCs w:val="19"/>
              </w:rPr>
              <w:t>Impact</w:t>
            </w:r>
          </w:p>
        </w:tc>
        <w:tc>
          <w:tcPr>
            <w:tcW w:w="1000" w:type="dxa"/>
            <w:shd w:val="clear" w:color="auto" w:fill="44546A"/>
            <w:tcMar>
              <w:top w:w="80" w:type="dxa"/>
              <w:left w:w="100" w:type="dxa"/>
              <w:bottom w:w="80" w:type="dxa"/>
              <w:right w:w="100" w:type="dxa"/>
            </w:tcMar>
            <w:vAlign w:val="center"/>
          </w:tcPr>
          <w:p w14:paraId="3098AD15" w14:textId="77777777" w:rsidR="00FC39D9" w:rsidRDefault="00000000">
            <w:r>
              <w:rPr>
                <w:b/>
                <w:bCs/>
                <w:color w:val="FFFFFF"/>
                <w:sz w:val="19"/>
                <w:szCs w:val="19"/>
              </w:rPr>
              <w:t>Likelihood</w:t>
            </w:r>
          </w:p>
        </w:tc>
        <w:tc>
          <w:tcPr>
            <w:tcW w:w="1000" w:type="dxa"/>
            <w:shd w:val="clear" w:color="auto" w:fill="44546A"/>
            <w:tcMar>
              <w:top w:w="80" w:type="dxa"/>
              <w:left w:w="100" w:type="dxa"/>
              <w:bottom w:w="80" w:type="dxa"/>
              <w:right w:w="100" w:type="dxa"/>
            </w:tcMar>
            <w:vAlign w:val="center"/>
          </w:tcPr>
          <w:p w14:paraId="6C34BF24" w14:textId="77777777" w:rsidR="00FC39D9" w:rsidRDefault="00000000">
            <w:r>
              <w:rPr>
                <w:b/>
                <w:bCs/>
                <w:color w:val="FFFFFF"/>
                <w:sz w:val="19"/>
                <w:szCs w:val="19"/>
              </w:rPr>
              <w:t>Severity</w:t>
            </w:r>
          </w:p>
        </w:tc>
        <w:tc>
          <w:tcPr>
            <w:tcW w:w="2900" w:type="dxa"/>
            <w:shd w:val="clear" w:color="auto" w:fill="44546A"/>
            <w:tcMar>
              <w:top w:w="80" w:type="dxa"/>
              <w:left w:w="100" w:type="dxa"/>
              <w:bottom w:w="80" w:type="dxa"/>
              <w:right w:w="100" w:type="dxa"/>
            </w:tcMar>
            <w:vAlign w:val="center"/>
          </w:tcPr>
          <w:p w14:paraId="3E95B0FA" w14:textId="77777777" w:rsidR="00FC39D9" w:rsidRDefault="00000000">
            <w:r>
              <w:rPr>
                <w:b/>
                <w:bCs/>
                <w:color w:val="FFFFFF"/>
                <w:sz w:val="19"/>
                <w:szCs w:val="19"/>
              </w:rPr>
              <w:t>Mitigation</w:t>
            </w:r>
          </w:p>
        </w:tc>
      </w:tr>
      <w:tr w:rsidR="00FC39D9" w14:paraId="3449106E"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C795168" w14:textId="77777777" w:rsidR="00FC39D9" w:rsidRDefault="00000000">
            <w:r>
              <w:rPr>
                <w:sz w:val="19"/>
                <w:szCs w:val="19"/>
              </w:rPr>
              <w:t xml:space="preserve">Week 26 RHC scheduling delay (external </w:t>
            </w:r>
            <w:proofErr w:type="spellStart"/>
            <w:r>
              <w:rPr>
                <w:sz w:val="19"/>
                <w:szCs w:val="19"/>
              </w:rPr>
              <w:t>cath</w:t>
            </w:r>
            <w:proofErr w:type="spellEnd"/>
            <w:r>
              <w:rPr>
                <w:sz w:val="19"/>
                <w:szCs w:val="19"/>
              </w:rPr>
              <w:t xml:space="preserve"> lab dependency)</w:t>
            </w:r>
          </w:p>
        </w:tc>
        <w:tc>
          <w:tcPr>
            <w:tcW w:w="1700" w:type="dxa"/>
            <w:shd w:val="clear" w:color="auto" w:fill="FFFFFF"/>
            <w:tcMar>
              <w:top w:w="80" w:type="dxa"/>
              <w:left w:w="100" w:type="dxa"/>
              <w:bottom w:w="80" w:type="dxa"/>
              <w:right w:w="100" w:type="dxa"/>
            </w:tcMar>
            <w:vAlign w:val="center"/>
          </w:tcPr>
          <w:p w14:paraId="0534F5F3" w14:textId="77777777" w:rsidR="00FC39D9" w:rsidRDefault="00000000">
            <w:r>
              <w:rPr>
                <w:sz w:val="19"/>
                <w:szCs w:val="19"/>
              </w:rPr>
              <w:t xml:space="preserve">Primary endpoint </w:t>
            </w:r>
            <w:proofErr w:type="gramStart"/>
            <w:r>
              <w:rPr>
                <w:sz w:val="19"/>
                <w:szCs w:val="19"/>
              </w:rPr>
              <w:t>visit</w:t>
            </w:r>
            <w:proofErr w:type="gramEnd"/>
            <w:r>
              <w:rPr>
                <w:sz w:val="19"/>
                <w:szCs w:val="19"/>
              </w:rPr>
              <w:t xml:space="preserve"> outside window</w:t>
            </w:r>
          </w:p>
        </w:tc>
        <w:tc>
          <w:tcPr>
            <w:tcW w:w="1000" w:type="dxa"/>
            <w:shd w:val="clear" w:color="auto" w:fill="FFFFFF"/>
            <w:tcMar>
              <w:top w:w="80" w:type="dxa"/>
              <w:left w:w="100" w:type="dxa"/>
              <w:bottom w:w="80" w:type="dxa"/>
              <w:right w:w="100" w:type="dxa"/>
            </w:tcMar>
            <w:vAlign w:val="center"/>
          </w:tcPr>
          <w:p w14:paraId="5BCC25CC" w14:textId="77777777" w:rsidR="00FC39D9" w:rsidRDefault="00000000">
            <w:r>
              <w:rPr>
                <w:sz w:val="19"/>
                <w:szCs w:val="19"/>
              </w:rPr>
              <w:t>Medium</w:t>
            </w:r>
          </w:p>
        </w:tc>
        <w:tc>
          <w:tcPr>
            <w:tcW w:w="1000" w:type="dxa"/>
            <w:shd w:val="clear" w:color="auto" w:fill="FFFFFF"/>
            <w:tcMar>
              <w:top w:w="80" w:type="dxa"/>
              <w:left w:w="100" w:type="dxa"/>
              <w:bottom w:w="80" w:type="dxa"/>
              <w:right w:w="100" w:type="dxa"/>
            </w:tcMar>
            <w:vAlign w:val="center"/>
          </w:tcPr>
          <w:p w14:paraId="41D2D7A1" w14:textId="77777777" w:rsidR="00FC39D9" w:rsidRDefault="00000000">
            <w:r>
              <w:rPr>
                <w:sz w:val="19"/>
                <w:szCs w:val="19"/>
              </w:rPr>
              <w:t>High</w:t>
            </w:r>
          </w:p>
        </w:tc>
        <w:tc>
          <w:tcPr>
            <w:tcW w:w="2900" w:type="dxa"/>
            <w:shd w:val="clear" w:color="auto" w:fill="FFFFFF"/>
            <w:tcMar>
              <w:top w:w="80" w:type="dxa"/>
              <w:left w:w="100" w:type="dxa"/>
              <w:bottom w:w="80" w:type="dxa"/>
              <w:right w:w="100" w:type="dxa"/>
            </w:tcMar>
            <w:vAlign w:val="center"/>
          </w:tcPr>
          <w:p w14:paraId="50A71121" w14:textId="77777777" w:rsidR="00FC39D9" w:rsidRDefault="00000000">
            <w:r>
              <w:rPr>
                <w:sz w:val="19"/>
                <w:szCs w:val="19"/>
              </w:rPr>
              <w:t xml:space="preserve">Pre-book </w:t>
            </w:r>
            <w:proofErr w:type="spellStart"/>
            <w:r>
              <w:rPr>
                <w:sz w:val="19"/>
                <w:szCs w:val="19"/>
              </w:rPr>
              <w:t>cath</w:t>
            </w:r>
            <w:proofErr w:type="spellEnd"/>
            <w:r>
              <w:rPr>
                <w:sz w:val="19"/>
                <w:szCs w:val="19"/>
              </w:rPr>
              <w:t xml:space="preserve"> lab slot at Week 12 visit; maintain backup facility agreement</w:t>
            </w:r>
          </w:p>
        </w:tc>
      </w:tr>
      <w:tr w:rsidR="00FC39D9" w14:paraId="39D1C558"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720825F2" w14:textId="77777777" w:rsidR="00FC39D9" w:rsidRDefault="00000000">
            <w:r>
              <w:rPr>
                <w:sz w:val="19"/>
                <w:szCs w:val="19"/>
              </w:rPr>
              <w:t>Missed weekly titration call</w:t>
            </w:r>
          </w:p>
        </w:tc>
        <w:tc>
          <w:tcPr>
            <w:tcW w:w="1700" w:type="dxa"/>
            <w:shd w:val="clear" w:color="auto" w:fill="F2F2F2"/>
            <w:tcMar>
              <w:top w:w="80" w:type="dxa"/>
              <w:left w:w="100" w:type="dxa"/>
              <w:bottom w:w="80" w:type="dxa"/>
              <w:right w:w="100" w:type="dxa"/>
            </w:tcMar>
            <w:vAlign w:val="center"/>
          </w:tcPr>
          <w:p w14:paraId="3DA4BAE3" w14:textId="77777777" w:rsidR="00FC39D9" w:rsidRDefault="00000000">
            <w:r>
              <w:rPr>
                <w:sz w:val="19"/>
                <w:szCs w:val="19"/>
              </w:rPr>
              <w:t>Incorrect/delayed dose step; potential deviation</w:t>
            </w:r>
          </w:p>
        </w:tc>
        <w:tc>
          <w:tcPr>
            <w:tcW w:w="1000" w:type="dxa"/>
            <w:shd w:val="clear" w:color="auto" w:fill="F2F2F2"/>
            <w:tcMar>
              <w:top w:w="80" w:type="dxa"/>
              <w:left w:w="100" w:type="dxa"/>
              <w:bottom w:w="80" w:type="dxa"/>
              <w:right w:w="100" w:type="dxa"/>
            </w:tcMar>
            <w:vAlign w:val="center"/>
          </w:tcPr>
          <w:p w14:paraId="73A2679C" w14:textId="77777777" w:rsidR="00FC39D9" w:rsidRDefault="00000000">
            <w:r>
              <w:rPr>
                <w:sz w:val="19"/>
                <w:szCs w:val="19"/>
              </w:rPr>
              <w:t>Medium</w:t>
            </w:r>
          </w:p>
        </w:tc>
        <w:tc>
          <w:tcPr>
            <w:tcW w:w="1000" w:type="dxa"/>
            <w:shd w:val="clear" w:color="auto" w:fill="F2F2F2"/>
            <w:tcMar>
              <w:top w:w="80" w:type="dxa"/>
              <w:left w:w="100" w:type="dxa"/>
              <w:bottom w:w="80" w:type="dxa"/>
              <w:right w:w="100" w:type="dxa"/>
            </w:tcMar>
            <w:vAlign w:val="center"/>
          </w:tcPr>
          <w:p w14:paraId="386DC103" w14:textId="77777777" w:rsidR="00FC39D9" w:rsidRDefault="00000000">
            <w:r>
              <w:rPr>
                <w:sz w:val="19"/>
                <w:szCs w:val="19"/>
              </w:rPr>
              <w:t>Medium</w:t>
            </w:r>
          </w:p>
        </w:tc>
        <w:tc>
          <w:tcPr>
            <w:tcW w:w="2900" w:type="dxa"/>
            <w:shd w:val="clear" w:color="auto" w:fill="F2F2F2"/>
            <w:tcMar>
              <w:top w:w="80" w:type="dxa"/>
              <w:left w:w="100" w:type="dxa"/>
              <w:bottom w:w="80" w:type="dxa"/>
              <w:right w:w="100" w:type="dxa"/>
            </w:tcMar>
            <w:vAlign w:val="center"/>
          </w:tcPr>
          <w:p w14:paraId="659254F2" w14:textId="77777777" w:rsidR="00FC39D9" w:rsidRDefault="00000000">
            <w:r>
              <w:rPr>
                <w:sz w:val="19"/>
                <w:szCs w:val="19"/>
              </w:rPr>
              <w:t>Shared titration tracker; backup coordinator coverage plan</w:t>
            </w:r>
          </w:p>
        </w:tc>
      </w:tr>
      <w:tr w:rsidR="00FC39D9" w14:paraId="597E2D76"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F8C9D5B" w14:textId="77777777" w:rsidR="00FC39D9" w:rsidRDefault="00000000">
            <w:r>
              <w:rPr>
                <w:sz w:val="19"/>
                <w:szCs w:val="19"/>
              </w:rPr>
              <w:t>Liver enzyme threshold missed or follow-up testing delayed beyond 48–72h</w:t>
            </w:r>
          </w:p>
        </w:tc>
        <w:tc>
          <w:tcPr>
            <w:tcW w:w="1700" w:type="dxa"/>
            <w:shd w:val="clear" w:color="auto" w:fill="FFFFFF"/>
            <w:tcMar>
              <w:top w:w="80" w:type="dxa"/>
              <w:left w:w="100" w:type="dxa"/>
              <w:bottom w:w="80" w:type="dxa"/>
              <w:right w:w="100" w:type="dxa"/>
            </w:tcMar>
            <w:vAlign w:val="center"/>
          </w:tcPr>
          <w:p w14:paraId="107D847A" w14:textId="77777777" w:rsidR="00FC39D9" w:rsidRDefault="00000000">
            <w:r>
              <w:rPr>
                <w:sz w:val="19"/>
                <w:szCs w:val="19"/>
              </w:rPr>
              <w:t>Safety risk; potential SAE under-reporting</w:t>
            </w:r>
          </w:p>
        </w:tc>
        <w:tc>
          <w:tcPr>
            <w:tcW w:w="1000" w:type="dxa"/>
            <w:shd w:val="clear" w:color="auto" w:fill="FFFFFF"/>
            <w:tcMar>
              <w:top w:w="80" w:type="dxa"/>
              <w:left w:w="100" w:type="dxa"/>
              <w:bottom w:w="80" w:type="dxa"/>
              <w:right w:w="100" w:type="dxa"/>
            </w:tcMar>
            <w:vAlign w:val="center"/>
          </w:tcPr>
          <w:p w14:paraId="3A4FFCAF" w14:textId="77777777" w:rsidR="00FC39D9" w:rsidRDefault="00000000">
            <w:r>
              <w:rPr>
                <w:sz w:val="19"/>
                <w:szCs w:val="19"/>
              </w:rPr>
              <w:t>Low</w:t>
            </w:r>
          </w:p>
        </w:tc>
        <w:tc>
          <w:tcPr>
            <w:tcW w:w="1000" w:type="dxa"/>
            <w:shd w:val="clear" w:color="auto" w:fill="FFFFFF"/>
            <w:tcMar>
              <w:top w:w="80" w:type="dxa"/>
              <w:left w:w="100" w:type="dxa"/>
              <w:bottom w:w="80" w:type="dxa"/>
              <w:right w:w="100" w:type="dxa"/>
            </w:tcMar>
            <w:vAlign w:val="center"/>
          </w:tcPr>
          <w:p w14:paraId="299DA08A" w14:textId="77777777" w:rsidR="00FC39D9" w:rsidRDefault="00000000">
            <w:r>
              <w:rPr>
                <w:sz w:val="19"/>
                <w:szCs w:val="19"/>
              </w:rPr>
              <w:t>High</w:t>
            </w:r>
          </w:p>
        </w:tc>
        <w:tc>
          <w:tcPr>
            <w:tcW w:w="2900" w:type="dxa"/>
            <w:shd w:val="clear" w:color="auto" w:fill="FFFFFF"/>
            <w:tcMar>
              <w:top w:w="80" w:type="dxa"/>
              <w:left w:w="100" w:type="dxa"/>
              <w:bottom w:w="80" w:type="dxa"/>
              <w:right w:w="100" w:type="dxa"/>
            </w:tcMar>
            <w:vAlign w:val="center"/>
          </w:tcPr>
          <w:p w14:paraId="1F24953E" w14:textId="77777777" w:rsidR="00FC39D9" w:rsidRDefault="00000000">
            <w:r>
              <w:rPr>
                <w:sz w:val="19"/>
                <w:szCs w:val="19"/>
              </w:rPr>
              <w:t>Lab result alert routing to coordinator and PI same day; documented escalation path</w:t>
            </w:r>
          </w:p>
        </w:tc>
      </w:tr>
      <w:tr w:rsidR="00FC39D9" w14:paraId="363F56F3"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58A2DBB6" w14:textId="77777777" w:rsidR="00FC39D9" w:rsidRDefault="00000000">
            <w:r>
              <w:rPr>
                <w:sz w:val="19"/>
                <w:szCs w:val="19"/>
              </w:rPr>
              <w:t>IP dispensing/kit number mismatch with IRT</w:t>
            </w:r>
          </w:p>
        </w:tc>
        <w:tc>
          <w:tcPr>
            <w:tcW w:w="1700" w:type="dxa"/>
            <w:shd w:val="clear" w:color="auto" w:fill="F2F2F2"/>
            <w:tcMar>
              <w:top w:w="80" w:type="dxa"/>
              <w:left w:w="100" w:type="dxa"/>
              <w:bottom w:w="80" w:type="dxa"/>
              <w:right w:w="100" w:type="dxa"/>
            </w:tcMar>
            <w:vAlign w:val="center"/>
          </w:tcPr>
          <w:p w14:paraId="7AD3B8C5" w14:textId="77777777" w:rsidR="00FC39D9" w:rsidRDefault="00000000">
            <w:r>
              <w:rPr>
                <w:sz w:val="19"/>
                <w:szCs w:val="19"/>
              </w:rPr>
              <w:t>Blinding integrity concern; accountability finding</w:t>
            </w:r>
          </w:p>
        </w:tc>
        <w:tc>
          <w:tcPr>
            <w:tcW w:w="1000" w:type="dxa"/>
            <w:shd w:val="clear" w:color="auto" w:fill="F2F2F2"/>
            <w:tcMar>
              <w:top w:w="80" w:type="dxa"/>
              <w:left w:w="100" w:type="dxa"/>
              <w:bottom w:w="80" w:type="dxa"/>
              <w:right w:w="100" w:type="dxa"/>
            </w:tcMar>
            <w:vAlign w:val="center"/>
          </w:tcPr>
          <w:p w14:paraId="27644DBC" w14:textId="77777777" w:rsidR="00FC39D9" w:rsidRDefault="00000000">
            <w:r>
              <w:rPr>
                <w:sz w:val="19"/>
                <w:szCs w:val="19"/>
              </w:rPr>
              <w:t>Low</w:t>
            </w:r>
          </w:p>
        </w:tc>
        <w:tc>
          <w:tcPr>
            <w:tcW w:w="1000" w:type="dxa"/>
            <w:shd w:val="clear" w:color="auto" w:fill="F2F2F2"/>
            <w:tcMar>
              <w:top w:w="80" w:type="dxa"/>
              <w:left w:w="100" w:type="dxa"/>
              <w:bottom w:w="80" w:type="dxa"/>
              <w:right w:w="100" w:type="dxa"/>
            </w:tcMar>
            <w:vAlign w:val="center"/>
          </w:tcPr>
          <w:p w14:paraId="4E06FBFD" w14:textId="77777777" w:rsidR="00FC39D9" w:rsidRDefault="00000000">
            <w:r>
              <w:rPr>
                <w:sz w:val="19"/>
                <w:szCs w:val="19"/>
              </w:rPr>
              <w:t>High</w:t>
            </w:r>
          </w:p>
        </w:tc>
        <w:tc>
          <w:tcPr>
            <w:tcW w:w="2900" w:type="dxa"/>
            <w:shd w:val="clear" w:color="auto" w:fill="F2F2F2"/>
            <w:tcMar>
              <w:top w:w="80" w:type="dxa"/>
              <w:left w:w="100" w:type="dxa"/>
              <w:bottom w:w="80" w:type="dxa"/>
              <w:right w:w="100" w:type="dxa"/>
            </w:tcMar>
            <w:vAlign w:val="center"/>
          </w:tcPr>
          <w:p w14:paraId="7CFDF8D1" w14:textId="77777777" w:rsidR="00FC39D9" w:rsidRDefault="00000000">
            <w:r>
              <w:rPr>
                <w:sz w:val="19"/>
                <w:szCs w:val="19"/>
              </w:rPr>
              <w:t>Dual verification of kit number at every dispense; pharmacist sign-off</w:t>
            </w:r>
          </w:p>
        </w:tc>
      </w:tr>
      <w:tr w:rsidR="00FC39D9" w14:paraId="210A50D6"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6F766D8" w14:textId="77777777" w:rsidR="00FC39D9" w:rsidRDefault="00000000">
            <w:r>
              <w:rPr>
                <w:sz w:val="19"/>
                <w:szCs w:val="19"/>
              </w:rPr>
              <w:t>WOCBP monthly pregnancy test missed</w:t>
            </w:r>
          </w:p>
        </w:tc>
        <w:tc>
          <w:tcPr>
            <w:tcW w:w="1700" w:type="dxa"/>
            <w:shd w:val="clear" w:color="auto" w:fill="FFFFFF"/>
            <w:tcMar>
              <w:top w:w="80" w:type="dxa"/>
              <w:left w:w="100" w:type="dxa"/>
              <w:bottom w:w="80" w:type="dxa"/>
              <w:right w:w="100" w:type="dxa"/>
            </w:tcMar>
            <w:vAlign w:val="center"/>
          </w:tcPr>
          <w:p w14:paraId="4C3139A5" w14:textId="77777777" w:rsidR="00FC39D9" w:rsidRDefault="00000000">
            <w:r>
              <w:rPr>
                <w:sz w:val="19"/>
                <w:szCs w:val="19"/>
              </w:rPr>
              <w:t>Protocol non-compliance; potential safety exposure</w:t>
            </w:r>
          </w:p>
        </w:tc>
        <w:tc>
          <w:tcPr>
            <w:tcW w:w="1000" w:type="dxa"/>
            <w:shd w:val="clear" w:color="auto" w:fill="FFFFFF"/>
            <w:tcMar>
              <w:top w:w="80" w:type="dxa"/>
              <w:left w:w="100" w:type="dxa"/>
              <w:bottom w:w="80" w:type="dxa"/>
              <w:right w:w="100" w:type="dxa"/>
            </w:tcMar>
            <w:vAlign w:val="center"/>
          </w:tcPr>
          <w:p w14:paraId="177D4C3B" w14:textId="77777777" w:rsidR="00FC39D9" w:rsidRDefault="00000000">
            <w:r>
              <w:rPr>
                <w:sz w:val="19"/>
                <w:szCs w:val="19"/>
              </w:rPr>
              <w:t>Medium</w:t>
            </w:r>
          </w:p>
        </w:tc>
        <w:tc>
          <w:tcPr>
            <w:tcW w:w="1000" w:type="dxa"/>
            <w:shd w:val="clear" w:color="auto" w:fill="FFFFFF"/>
            <w:tcMar>
              <w:top w:w="80" w:type="dxa"/>
              <w:left w:w="100" w:type="dxa"/>
              <w:bottom w:w="80" w:type="dxa"/>
              <w:right w:w="100" w:type="dxa"/>
            </w:tcMar>
            <w:vAlign w:val="center"/>
          </w:tcPr>
          <w:p w14:paraId="3CE22C61" w14:textId="77777777" w:rsidR="00FC39D9" w:rsidRDefault="00000000">
            <w:r>
              <w:rPr>
                <w:sz w:val="19"/>
                <w:szCs w:val="19"/>
              </w:rPr>
              <w:t>High</w:t>
            </w:r>
          </w:p>
        </w:tc>
        <w:tc>
          <w:tcPr>
            <w:tcW w:w="2900" w:type="dxa"/>
            <w:shd w:val="clear" w:color="auto" w:fill="FFFFFF"/>
            <w:tcMar>
              <w:top w:w="80" w:type="dxa"/>
              <w:left w:w="100" w:type="dxa"/>
              <w:bottom w:w="80" w:type="dxa"/>
              <w:right w:w="100" w:type="dxa"/>
            </w:tcMar>
            <w:vAlign w:val="center"/>
          </w:tcPr>
          <w:p w14:paraId="4BCD60E0" w14:textId="77777777" w:rsidR="00FC39D9" w:rsidRDefault="00000000">
            <w:r>
              <w:rPr>
                <w:sz w:val="19"/>
                <w:szCs w:val="19"/>
              </w:rPr>
              <w:t>Calendar reminders tied to eCRF; coordinator monthly tracking log</w:t>
            </w:r>
          </w:p>
        </w:tc>
      </w:tr>
      <w:tr w:rsidR="00FC39D9" w14:paraId="39985C3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23CBE4F4" w14:textId="77777777" w:rsidR="00FC39D9" w:rsidRDefault="00000000">
            <w:r>
              <w:rPr>
                <w:sz w:val="19"/>
                <w:szCs w:val="19"/>
              </w:rPr>
              <w:t>Screen failure due to late referral (outside 6-month diagnosis window)</w:t>
            </w:r>
          </w:p>
        </w:tc>
        <w:tc>
          <w:tcPr>
            <w:tcW w:w="1700" w:type="dxa"/>
            <w:shd w:val="clear" w:color="auto" w:fill="F2F2F2"/>
            <w:tcMar>
              <w:top w:w="80" w:type="dxa"/>
              <w:left w:w="100" w:type="dxa"/>
              <w:bottom w:w="80" w:type="dxa"/>
              <w:right w:w="100" w:type="dxa"/>
            </w:tcMar>
            <w:vAlign w:val="center"/>
          </w:tcPr>
          <w:p w14:paraId="601B3BDB" w14:textId="77777777" w:rsidR="00FC39D9" w:rsidRDefault="00000000">
            <w:r>
              <w:rPr>
                <w:sz w:val="19"/>
                <w:szCs w:val="19"/>
              </w:rPr>
              <w:t>Recruitment delay</w:t>
            </w:r>
          </w:p>
        </w:tc>
        <w:tc>
          <w:tcPr>
            <w:tcW w:w="1000" w:type="dxa"/>
            <w:shd w:val="clear" w:color="auto" w:fill="F2F2F2"/>
            <w:tcMar>
              <w:top w:w="80" w:type="dxa"/>
              <w:left w:w="100" w:type="dxa"/>
              <w:bottom w:w="80" w:type="dxa"/>
              <w:right w:w="100" w:type="dxa"/>
            </w:tcMar>
            <w:vAlign w:val="center"/>
          </w:tcPr>
          <w:p w14:paraId="0FD42AE3" w14:textId="77777777" w:rsidR="00FC39D9" w:rsidRDefault="00000000">
            <w:r>
              <w:rPr>
                <w:sz w:val="19"/>
                <w:szCs w:val="19"/>
              </w:rPr>
              <w:t>Medium</w:t>
            </w:r>
          </w:p>
        </w:tc>
        <w:tc>
          <w:tcPr>
            <w:tcW w:w="1000" w:type="dxa"/>
            <w:shd w:val="clear" w:color="auto" w:fill="F2F2F2"/>
            <w:tcMar>
              <w:top w:w="80" w:type="dxa"/>
              <w:left w:w="100" w:type="dxa"/>
              <w:bottom w:w="80" w:type="dxa"/>
              <w:right w:w="100" w:type="dxa"/>
            </w:tcMar>
            <w:vAlign w:val="center"/>
          </w:tcPr>
          <w:p w14:paraId="597DF046" w14:textId="77777777" w:rsidR="00FC39D9" w:rsidRDefault="00000000">
            <w:r>
              <w:rPr>
                <w:sz w:val="19"/>
                <w:szCs w:val="19"/>
              </w:rPr>
              <w:t>Medium</w:t>
            </w:r>
          </w:p>
        </w:tc>
        <w:tc>
          <w:tcPr>
            <w:tcW w:w="2900" w:type="dxa"/>
            <w:shd w:val="clear" w:color="auto" w:fill="F2F2F2"/>
            <w:tcMar>
              <w:top w:w="80" w:type="dxa"/>
              <w:left w:w="100" w:type="dxa"/>
              <w:bottom w:w="80" w:type="dxa"/>
              <w:right w:w="100" w:type="dxa"/>
            </w:tcMar>
            <w:vAlign w:val="center"/>
          </w:tcPr>
          <w:p w14:paraId="4F7794E8" w14:textId="77777777" w:rsidR="00FC39D9" w:rsidRDefault="00000000">
            <w:r>
              <w:rPr>
                <w:sz w:val="19"/>
                <w:szCs w:val="19"/>
              </w:rPr>
              <w:t>Strengthen referral pathway; educate referring physicians on window</w:t>
            </w:r>
          </w:p>
        </w:tc>
      </w:tr>
      <w:tr w:rsidR="00FC39D9" w14:paraId="4E218112"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515FB27" w14:textId="77777777" w:rsidR="00FC39D9" w:rsidRDefault="00000000">
            <w:r>
              <w:rPr>
                <w:sz w:val="19"/>
                <w:szCs w:val="19"/>
              </w:rPr>
              <w:lastRenderedPageBreak/>
              <w:t>Central lab shipment temperature excursion</w:t>
            </w:r>
          </w:p>
        </w:tc>
        <w:tc>
          <w:tcPr>
            <w:tcW w:w="1700" w:type="dxa"/>
            <w:shd w:val="clear" w:color="auto" w:fill="FFFFFF"/>
            <w:tcMar>
              <w:top w:w="80" w:type="dxa"/>
              <w:left w:w="100" w:type="dxa"/>
              <w:bottom w:w="80" w:type="dxa"/>
              <w:right w:w="100" w:type="dxa"/>
            </w:tcMar>
            <w:vAlign w:val="center"/>
          </w:tcPr>
          <w:p w14:paraId="5750CCDA" w14:textId="77777777" w:rsidR="00FC39D9" w:rsidRDefault="00000000">
            <w:r>
              <w:rPr>
                <w:sz w:val="19"/>
                <w:szCs w:val="19"/>
              </w:rPr>
              <w:t>Sample invalidity, repeat draw needed</w:t>
            </w:r>
          </w:p>
        </w:tc>
        <w:tc>
          <w:tcPr>
            <w:tcW w:w="1000" w:type="dxa"/>
            <w:shd w:val="clear" w:color="auto" w:fill="FFFFFF"/>
            <w:tcMar>
              <w:top w:w="80" w:type="dxa"/>
              <w:left w:w="100" w:type="dxa"/>
              <w:bottom w:w="80" w:type="dxa"/>
              <w:right w:w="100" w:type="dxa"/>
            </w:tcMar>
            <w:vAlign w:val="center"/>
          </w:tcPr>
          <w:p w14:paraId="51CF9E30" w14:textId="77777777" w:rsidR="00FC39D9" w:rsidRDefault="00000000">
            <w:r>
              <w:rPr>
                <w:sz w:val="19"/>
                <w:szCs w:val="19"/>
              </w:rPr>
              <w:t>Low</w:t>
            </w:r>
          </w:p>
        </w:tc>
        <w:tc>
          <w:tcPr>
            <w:tcW w:w="1000" w:type="dxa"/>
            <w:shd w:val="clear" w:color="auto" w:fill="FFFFFF"/>
            <w:tcMar>
              <w:top w:w="80" w:type="dxa"/>
              <w:left w:w="100" w:type="dxa"/>
              <w:bottom w:w="80" w:type="dxa"/>
              <w:right w:w="100" w:type="dxa"/>
            </w:tcMar>
            <w:vAlign w:val="center"/>
          </w:tcPr>
          <w:p w14:paraId="24F46CDC" w14:textId="77777777" w:rsidR="00FC39D9" w:rsidRDefault="00000000">
            <w:r>
              <w:rPr>
                <w:sz w:val="19"/>
                <w:szCs w:val="19"/>
              </w:rPr>
              <w:t>Medium</w:t>
            </w:r>
          </w:p>
        </w:tc>
        <w:tc>
          <w:tcPr>
            <w:tcW w:w="2900" w:type="dxa"/>
            <w:shd w:val="clear" w:color="auto" w:fill="FFFFFF"/>
            <w:tcMar>
              <w:top w:w="80" w:type="dxa"/>
              <w:left w:w="100" w:type="dxa"/>
              <w:bottom w:w="80" w:type="dxa"/>
              <w:right w:w="100" w:type="dxa"/>
            </w:tcMar>
            <w:vAlign w:val="center"/>
          </w:tcPr>
          <w:p w14:paraId="5000EA18" w14:textId="77777777" w:rsidR="00FC39D9" w:rsidRDefault="00000000">
            <w:r>
              <w:rPr>
                <w:sz w:val="19"/>
                <w:szCs w:val="19"/>
              </w:rPr>
              <w:t>Courier SLA review; temperature logger on all shipments</w:t>
            </w:r>
          </w:p>
        </w:tc>
      </w:tr>
      <w:tr w:rsidR="00FC39D9" w14:paraId="48A5B3D2"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76616E05" w14:textId="77777777" w:rsidR="00FC39D9" w:rsidRDefault="00000000">
            <w:r>
              <w:rPr>
                <w:sz w:val="19"/>
                <w:szCs w:val="19"/>
              </w:rPr>
              <w:t>Delegation log not updated for new staff</w:t>
            </w:r>
          </w:p>
        </w:tc>
        <w:tc>
          <w:tcPr>
            <w:tcW w:w="1700" w:type="dxa"/>
            <w:shd w:val="clear" w:color="auto" w:fill="F2F2F2"/>
            <w:tcMar>
              <w:top w:w="80" w:type="dxa"/>
              <w:left w:w="100" w:type="dxa"/>
              <w:bottom w:w="80" w:type="dxa"/>
              <w:right w:w="100" w:type="dxa"/>
            </w:tcMar>
            <w:vAlign w:val="center"/>
          </w:tcPr>
          <w:p w14:paraId="12C6B7E5" w14:textId="77777777" w:rsidR="00FC39D9" w:rsidRDefault="00000000">
            <w:r>
              <w:rPr>
                <w:sz w:val="19"/>
                <w:szCs w:val="19"/>
              </w:rPr>
              <w:t>GCP/audit finding</w:t>
            </w:r>
          </w:p>
        </w:tc>
        <w:tc>
          <w:tcPr>
            <w:tcW w:w="1000" w:type="dxa"/>
            <w:shd w:val="clear" w:color="auto" w:fill="F2F2F2"/>
            <w:tcMar>
              <w:top w:w="80" w:type="dxa"/>
              <w:left w:w="100" w:type="dxa"/>
              <w:bottom w:w="80" w:type="dxa"/>
              <w:right w:w="100" w:type="dxa"/>
            </w:tcMar>
            <w:vAlign w:val="center"/>
          </w:tcPr>
          <w:p w14:paraId="6C898C41" w14:textId="77777777" w:rsidR="00FC39D9" w:rsidRDefault="00000000">
            <w:r>
              <w:rPr>
                <w:sz w:val="19"/>
                <w:szCs w:val="19"/>
              </w:rPr>
              <w:t>Medium</w:t>
            </w:r>
          </w:p>
        </w:tc>
        <w:tc>
          <w:tcPr>
            <w:tcW w:w="1000" w:type="dxa"/>
            <w:shd w:val="clear" w:color="auto" w:fill="F2F2F2"/>
            <w:tcMar>
              <w:top w:w="80" w:type="dxa"/>
              <w:left w:w="100" w:type="dxa"/>
              <w:bottom w:w="80" w:type="dxa"/>
              <w:right w:w="100" w:type="dxa"/>
            </w:tcMar>
            <w:vAlign w:val="center"/>
          </w:tcPr>
          <w:p w14:paraId="73D67F10" w14:textId="77777777" w:rsidR="00FC39D9" w:rsidRDefault="00000000">
            <w:r>
              <w:rPr>
                <w:sz w:val="19"/>
                <w:szCs w:val="19"/>
              </w:rPr>
              <w:t>Medium</w:t>
            </w:r>
          </w:p>
        </w:tc>
        <w:tc>
          <w:tcPr>
            <w:tcW w:w="2900" w:type="dxa"/>
            <w:shd w:val="clear" w:color="auto" w:fill="F2F2F2"/>
            <w:tcMar>
              <w:top w:w="80" w:type="dxa"/>
              <w:left w:w="100" w:type="dxa"/>
              <w:bottom w:w="80" w:type="dxa"/>
              <w:right w:w="100" w:type="dxa"/>
            </w:tcMar>
            <w:vAlign w:val="center"/>
          </w:tcPr>
          <w:p w14:paraId="06D586EC" w14:textId="77777777" w:rsidR="00FC39D9" w:rsidRDefault="00000000">
            <w:r>
              <w:rPr>
                <w:sz w:val="19"/>
                <w:szCs w:val="19"/>
              </w:rPr>
              <w:t>Delegation log review at every monitoring visit</w:t>
            </w:r>
          </w:p>
        </w:tc>
      </w:tr>
      <w:tr w:rsidR="00FC39D9" w14:paraId="3A1D5CEA"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7F05FF3" w14:textId="77777777" w:rsidR="00FC39D9" w:rsidRDefault="00000000">
            <w:r>
              <w:rPr>
                <w:sz w:val="19"/>
                <w:szCs w:val="19"/>
              </w:rPr>
              <w:t>SAE reported outside 24-hour window</w:t>
            </w:r>
          </w:p>
        </w:tc>
        <w:tc>
          <w:tcPr>
            <w:tcW w:w="1700" w:type="dxa"/>
            <w:shd w:val="clear" w:color="auto" w:fill="FFFFFF"/>
            <w:tcMar>
              <w:top w:w="80" w:type="dxa"/>
              <w:left w:w="100" w:type="dxa"/>
              <w:bottom w:w="80" w:type="dxa"/>
              <w:right w:w="100" w:type="dxa"/>
            </w:tcMar>
            <w:vAlign w:val="center"/>
          </w:tcPr>
          <w:p w14:paraId="7B9DACE3" w14:textId="77777777" w:rsidR="00FC39D9" w:rsidRDefault="00000000">
            <w:r>
              <w:rPr>
                <w:sz w:val="19"/>
                <w:szCs w:val="19"/>
              </w:rPr>
              <w:t>Regulatory compliance breach</w:t>
            </w:r>
          </w:p>
        </w:tc>
        <w:tc>
          <w:tcPr>
            <w:tcW w:w="1000" w:type="dxa"/>
            <w:shd w:val="clear" w:color="auto" w:fill="FFFFFF"/>
            <w:tcMar>
              <w:top w:w="80" w:type="dxa"/>
              <w:left w:w="100" w:type="dxa"/>
              <w:bottom w:w="80" w:type="dxa"/>
              <w:right w:w="100" w:type="dxa"/>
            </w:tcMar>
            <w:vAlign w:val="center"/>
          </w:tcPr>
          <w:p w14:paraId="6AFE88D5" w14:textId="77777777" w:rsidR="00FC39D9" w:rsidRDefault="00000000">
            <w:r>
              <w:rPr>
                <w:sz w:val="19"/>
                <w:szCs w:val="19"/>
              </w:rPr>
              <w:t>Low</w:t>
            </w:r>
          </w:p>
        </w:tc>
        <w:tc>
          <w:tcPr>
            <w:tcW w:w="1000" w:type="dxa"/>
            <w:shd w:val="clear" w:color="auto" w:fill="FFFFFF"/>
            <w:tcMar>
              <w:top w:w="80" w:type="dxa"/>
              <w:left w:w="100" w:type="dxa"/>
              <w:bottom w:w="80" w:type="dxa"/>
              <w:right w:w="100" w:type="dxa"/>
            </w:tcMar>
            <w:vAlign w:val="center"/>
          </w:tcPr>
          <w:p w14:paraId="41D443B2" w14:textId="77777777" w:rsidR="00FC39D9" w:rsidRDefault="00000000">
            <w:r>
              <w:rPr>
                <w:sz w:val="19"/>
                <w:szCs w:val="19"/>
              </w:rPr>
              <w:t>High</w:t>
            </w:r>
          </w:p>
        </w:tc>
        <w:tc>
          <w:tcPr>
            <w:tcW w:w="2900" w:type="dxa"/>
            <w:shd w:val="clear" w:color="auto" w:fill="FFFFFF"/>
            <w:tcMar>
              <w:top w:w="80" w:type="dxa"/>
              <w:left w:w="100" w:type="dxa"/>
              <w:bottom w:w="80" w:type="dxa"/>
              <w:right w:w="100" w:type="dxa"/>
            </w:tcMar>
            <w:vAlign w:val="center"/>
          </w:tcPr>
          <w:p w14:paraId="0735E84C" w14:textId="77777777" w:rsidR="00FC39D9" w:rsidRDefault="00000000">
            <w:r>
              <w:rPr>
                <w:sz w:val="19"/>
                <w:szCs w:val="19"/>
              </w:rPr>
              <w:t>SAE reporting refresher training; visible reporting deadline poster/reminder</w:t>
            </w:r>
          </w:p>
        </w:tc>
      </w:tr>
    </w:tbl>
    <w:p w14:paraId="1382446B" w14:textId="77777777" w:rsidR="00FC39D9" w:rsidRDefault="00000000">
      <w:pPr>
        <w:pStyle w:val="Heading1"/>
      </w:pPr>
      <w:r>
        <w:t>14. Monitoring Activities</w:t>
      </w:r>
    </w:p>
    <w:p w14:paraId="07877452" w14:textId="77777777" w:rsidR="00FC39D9" w:rsidRDefault="00000000">
      <w:pPr>
        <w:spacing w:after="160" w:line="276" w:lineRule="auto"/>
      </w:pPr>
      <w:r>
        <w:t>Monitoring on INITIATE-PAH follows a risk-based approach, meaning not every data point gets 100% source data verification — attention is concentrated on the areas that matter most to patient safety and to the integrity of the primary endpoint.</w:t>
      </w:r>
    </w:p>
    <w:p w14:paraId="72863126" w14:textId="77777777" w:rsidR="00FC39D9" w:rsidRDefault="00000000">
      <w:pPr>
        <w:pStyle w:val="Heading2"/>
      </w:pPr>
      <w:r>
        <w:t>14.1 High-Risk Areas Requiring Monitoring Attention</w:t>
      </w:r>
    </w:p>
    <w:p w14:paraId="211863F6" w14:textId="77777777" w:rsidR="00FC39D9" w:rsidRDefault="00000000">
      <w:pPr>
        <w:pStyle w:val="ListParagraph"/>
        <w:numPr>
          <w:ilvl w:val="0"/>
          <w:numId w:val="2"/>
        </w:numPr>
        <w:spacing w:after="90"/>
      </w:pPr>
      <w:r>
        <w:t xml:space="preserve">Eligibility criteria at screening, particularly the RHC-confirmed hemodynamic thresholds and the negative acute vasoreactivity requirement for applicable </w:t>
      </w:r>
      <w:proofErr w:type="spellStart"/>
      <w:r>
        <w:t>etiologies</w:t>
      </w:r>
      <w:proofErr w:type="spellEnd"/>
      <w:r>
        <w:t>.</w:t>
      </w:r>
    </w:p>
    <w:p w14:paraId="3FBF903C" w14:textId="77777777" w:rsidR="00FC39D9" w:rsidRDefault="00000000">
      <w:pPr>
        <w:pStyle w:val="ListParagraph"/>
        <w:numPr>
          <w:ilvl w:val="0"/>
          <w:numId w:val="2"/>
        </w:numPr>
        <w:spacing w:after="90"/>
      </w:pPr>
      <w:r>
        <w:t>IP exposure and accountability, especially the IPRA-01/placebo titration record against IRT.</w:t>
      </w:r>
    </w:p>
    <w:p w14:paraId="330D2CA8" w14:textId="77777777" w:rsidR="00FC39D9" w:rsidRDefault="00000000">
      <w:pPr>
        <w:pStyle w:val="ListParagraph"/>
        <w:numPr>
          <w:ilvl w:val="0"/>
          <w:numId w:val="2"/>
        </w:numPr>
        <w:spacing w:after="90"/>
      </w:pPr>
      <w:r>
        <w:t>Primary and key secondary endpoint data — RHC measurements, 6MWD, WHO FC — for consistency with source and standardized methodology.</w:t>
      </w:r>
    </w:p>
    <w:p w14:paraId="1B770139" w14:textId="77777777" w:rsidR="00FC39D9" w:rsidRDefault="00000000">
      <w:pPr>
        <w:pStyle w:val="ListParagraph"/>
        <w:numPr>
          <w:ilvl w:val="0"/>
          <w:numId w:val="2"/>
        </w:numPr>
        <w:spacing w:after="90"/>
      </w:pPr>
      <w:r>
        <w:t>Safety reporting timelines, especially SAE submission within 24 hours and liver enzyme follow-up within the 48–</w:t>
      </w:r>
      <w:proofErr w:type="gramStart"/>
      <w:r>
        <w:t>72 hour</w:t>
      </w:r>
      <w:proofErr w:type="gramEnd"/>
      <w:r>
        <w:t xml:space="preserve"> window.</w:t>
      </w:r>
    </w:p>
    <w:p w14:paraId="3F76B987" w14:textId="77777777" w:rsidR="00FC39D9" w:rsidRDefault="00000000">
      <w:pPr>
        <w:pStyle w:val="ListParagraph"/>
        <w:numPr>
          <w:ilvl w:val="0"/>
          <w:numId w:val="2"/>
        </w:numPr>
        <w:spacing w:after="90"/>
      </w:pPr>
      <w:r>
        <w:t>WOCBP pregnancy testing and contraception documentation.</w:t>
      </w:r>
    </w:p>
    <w:p w14:paraId="48B8575E" w14:textId="77777777" w:rsidR="00FC39D9" w:rsidRDefault="00000000">
      <w:pPr>
        <w:pStyle w:val="ListParagraph"/>
        <w:numPr>
          <w:ilvl w:val="0"/>
          <w:numId w:val="2"/>
        </w:numPr>
        <w:spacing w:after="90"/>
      </w:pPr>
      <w:r>
        <w:t>Visit window adherence, particularly for Week 26.</w:t>
      </w:r>
    </w:p>
    <w:p w14:paraId="62FC9D7E" w14:textId="77777777" w:rsidR="00FC39D9" w:rsidRDefault="00000000">
      <w:pPr>
        <w:pStyle w:val="Heading2"/>
      </w:pPr>
      <w:r>
        <w:t>14.2 What a Monitoring Visit Typically Covers</w:t>
      </w:r>
    </w:p>
    <w:p w14:paraId="1032DDA4" w14:textId="77777777" w:rsidR="00FC39D9" w:rsidRDefault="00000000">
      <w:pPr>
        <w:pStyle w:val="ListParagraph"/>
        <w:numPr>
          <w:ilvl w:val="0"/>
          <w:numId w:val="3"/>
        </w:numPr>
        <w:spacing w:after="90"/>
      </w:pPr>
      <w:r>
        <w:t>Review of the Investigator Site File for completeness — training records, delegation log, ethics correspondence, essential documents.</w:t>
      </w:r>
    </w:p>
    <w:p w14:paraId="0A6DA184" w14:textId="77777777" w:rsidR="00FC39D9" w:rsidRDefault="00000000">
      <w:pPr>
        <w:pStyle w:val="ListParagraph"/>
        <w:numPr>
          <w:ilvl w:val="0"/>
          <w:numId w:val="3"/>
        </w:numPr>
        <w:spacing w:after="90"/>
      </w:pPr>
      <w:r>
        <w:t>Source data verification against eCRF entries for critical data points.</w:t>
      </w:r>
    </w:p>
    <w:p w14:paraId="2AD9FCA0" w14:textId="77777777" w:rsidR="00FC39D9" w:rsidRDefault="00000000">
      <w:pPr>
        <w:pStyle w:val="ListParagraph"/>
        <w:numPr>
          <w:ilvl w:val="0"/>
          <w:numId w:val="3"/>
        </w:numPr>
        <w:spacing w:after="90"/>
      </w:pPr>
      <w:r>
        <w:t>IP accountability reconciliation against pharmacy logs and IRT.</w:t>
      </w:r>
    </w:p>
    <w:p w14:paraId="07BD5E65" w14:textId="77777777" w:rsidR="00FC39D9" w:rsidRDefault="00000000">
      <w:pPr>
        <w:pStyle w:val="ListParagraph"/>
        <w:numPr>
          <w:ilvl w:val="0"/>
          <w:numId w:val="3"/>
        </w:numPr>
        <w:spacing w:after="90"/>
      </w:pPr>
      <w:r>
        <w:t>Review of open queries and outstanding action items from prior visits.</w:t>
      </w:r>
    </w:p>
    <w:p w14:paraId="06DAFB1F" w14:textId="77777777" w:rsidR="00FC39D9" w:rsidRDefault="00000000">
      <w:pPr>
        <w:pStyle w:val="ListParagraph"/>
        <w:numPr>
          <w:ilvl w:val="0"/>
          <w:numId w:val="3"/>
        </w:numPr>
        <w:spacing w:after="90"/>
      </w:pPr>
      <w:r>
        <w:t>Confirmation of informed consent process for any newly enrolled participants.</w:t>
      </w:r>
    </w:p>
    <w:p w14:paraId="19E0911B" w14:textId="77777777" w:rsidR="00FC39D9" w:rsidRDefault="00000000">
      <w:pPr>
        <w:pStyle w:val="ListParagraph"/>
        <w:numPr>
          <w:ilvl w:val="0"/>
          <w:numId w:val="3"/>
        </w:numPr>
        <w:spacing w:after="90"/>
      </w:pPr>
      <w:r>
        <w:t>A closing discussion with the PI or delegate covering findings, action items, and target resolution dates.</w:t>
      </w:r>
    </w:p>
    <w:p w14:paraId="572B7F2A" w14:textId="77777777" w:rsidR="00FC39D9" w:rsidRDefault="00000000">
      <w:pPr>
        <w:pStyle w:val="Heading2"/>
      </w:pPr>
      <w:r>
        <w:t>14.3 The Study Critical Data Concept</w:t>
      </w:r>
    </w:p>
    <w:p w14:paraId="3ABA5D9A" w14:textId="77777777" w:rsidR="00FC39D9" w:rsidRDefault="00000000">
      <w:pPr>
        <w:spacing w:after="160" w:line="276" w:lineRule="auto"/>
      </w:pPr>
      <w:r>
        <w:lastRenderedPageBreak/>
        <w:t xml:space="preserve">Not all data carries equal weight. 'Critical data' on this protocol </w:t>
      </w:r>
      <w:proofErr w:type="spellStart"/>
      <w:r>
        <w:t>centers</w:t>
      </w:r>
      <w:proofErr w:type="spellEnd"/>
      <w:r>
        <w:t xml:space="preserve"> on eligibility confirmation, RHC results, IP exposure, the primary and key secondary endpoints, and safety reporting. Framing monitoring priorities this way helps a coordinator understand why a monitor might spend an hour on the RHC source documentation and five minutes on a routine </w:t>
      </w:r>
      <w:proofErr w:type="gramStart"/>
      <w:r>
        <w:t>vitals</w:t>
      </w:r>
      <w:proofErr w:type="gramEnd"/>
      <w:r>
        <w:t xml:space="preserve"> entry — it is not arbitrary; it reflects where an error would actually matter to the study.</w:t>
      </w:r>
    </w:p>
    <w:p w14:paraId="1AA5B3A4" w14:textId="77777777" w:rsidR="00FC39D9" w:rsidRDefault="00000000">
      <w:pPr>
        <w:pStyle w:val="Heading1"/>
      </w:pPr>
      <w:r>
        <w:t>15. Study Close-Out</w:t>
      </w:r>
    </w:p>
    <w:p w14:paraId="61E9541F" w14:textId="77777777" w:rsidR="00FC39D9" w:rsidRDefault="00000000">
      <w:pPr>
        <w:spacing w:after="160" w:line="276" w:lineRule="auto"/>
      </w:pPr>
      <w:r>
        <w:t>Close-out is not a single visit; it is a sequence of activities that, done properly, leaves the site's records defensible for years after the last patient has left the study.</w:t>
      </w:r>
    </w:p>
    <w:p w14:paraId="4F4D1648" w14:textId="77777777" w:rsidR="00FC39D9" w:rsidRDefault="00000000">
      <w:pPr>
        <w:pStyle w:val="Heading2"/>
      </w:pPr>
      <w:r>
        <w:t>15.1 Site-Level Close-Out Activities</w:t>
      </w:r>
    </w:p>
    <w:p w14:paraId="5B5CAD02" w14:textId="77777777" w:rsidR="00FC39D9" w:rsidRDefault="00000000">
      <w:pPr>
        <w:pStyle w:val="ListParagraph"/>
        <w:numPr>
          <w:ilvl w:val="0"/>
          <w:numId w:val="2"/>
        </w:numPr>
        <w:spacing w:after="90"/>
      </w:pPr>
      <w:r>
        <w:t>Confirm all participants have completed EOT/EOS or are appropriately accounted for (withdrawal, death, lost to follow-up, ongoing extension).</w:t>
      </w:r>
    </w:p>
    <w:p w14:paraId="0D66124D" w14:textId="77777777" w:rsidR="00FC39D9" w:rsidRDefault="00000000">
      <w:pPr>
        <w:pStyle w:val="ListParagraph"/>
        <w:numPr>
          <w:ilvl w:val="0"/>
          <w:numId w:val="2"/>
        </w:numPr>
        <w:spacing w:after="90"/>
      </w:pPr>
      <w:r>
        <w:t>Final IP reconciliation and return/destruction per pharmacy SOPs, with documentation retained.</w:t>
      </w:r>
    </w:p>
    <w:p w14:paraId="1FD8CF05" w14:textId="77777777" w:rsidR="00FC39D9" w:rsidRDefault="00000000">
      <w:pPr>
        <w:pStyle w:val="ListParagraph"/>
        <w:numPr>
          <w:ilvl w:val="0"/>
          <w:numId w:val="2"/>
        </w:numPr>
        <w:spacing w:after="90"/>
      </w:pPr>
      <w:r>
        <w:t>Resolution of all outstanding queries and monitoring action items.</w:t>
      </w:r>
    </w:p>
    <w:p w14:paraId="5B8AAB63" w14:textId="77777777" w:rsidR="00FC39D9" w:rsidRDefault="00000000">
      <w:pPr>
        <w:pStyle w:val="ListParagraph"/>
        <w:numPr>
          <w:ilvl w:val="0"/>
          <w:numId w:val="2"/>
        </w:numPr>
        <w:spacing w:after="90"/>
      </w:pPr>
      <w:r>
        <w:t>Final source data verification and close-out monitoring visit.</w:t>
      </w:r>
    </w:p>
    <w:p w14:paraId="71DDD41F" w14:textId="77777777" w:rsidR="00FC39D9" w:rsidRDefault="00000000">
      <w:pPr>
        <w:pStyle w:val="ListParagraph"/>
        <w:numPr>
          <w:ilvl w:val="0"/>
          <w:numId w:val="2"/>
        </w:numPr>
        <w:spacing w:after="90"/>
      </w:pPr>
      <w:r>
        <w:t>Confirmation that the Investigator Site File is complete per the ICH E6 Essential Documents list, including training records, delegation logs, and correspondence.</w:t>
      </w:r>
    </w:p>
    <w:p w14:paraId="661F9D53" w14:textId="77777777" w:rsidR="00FC39D9" w:rsidRDefault="00000000">
      <w:pPr>
        <w:pStyle w:val="ListParagraph"/>
        <w:numPr>
          <w:ilvl w:val="0"/>
          <w:numId w:val="2"/>
        </w:numPr>
        <w:spacing w:after="90"/>
      </w:pPr>
      <w:r>
        <w:t>Return or secure destruction of any remaining study materials per the sponsor's instructions.</w:t>
      </w:r>
    </w:p>
    <w:p w14:paraId="65E360ED" w14:textId="77777777" w:rsidR="00FC39D9" w:rsidRDefault="00000000">
      <w:pPr>
        <w:pStyle w:val="Heading2"/>
      </w:pPr>
      <w:r>
        <w:t>15.2 Record Retention</w:t>
      </w:r>
    </w:p>
    <w:p w14:paraId="5F0A53E4" w14:textId="77777777" w:rsidR="00FC39D9" w:rsidRDefault="00000000">
      <w:pPr>
        <w:spacing w:after="160" w:line="276" w:lineRule="auto"/>
      </w:pPr>
      <w:r>
        <w:t>Records are retained by the investigator for as long as required by the sponsor's clinical study agreement and applicable national or international regulations, whichever period is longest. If a site cannot guarantee on-site archiving for the full retention period, arrangements are made with the sponsor for secure off-site storage that respects data confidentiality and allows retrieval in the event of a regulatory inspection. No study document is destroyed without prior written sponsor approval.</w:t>
      </w:r>
    </w:p>
    <w:p w14:paraId="2A412BF8" w14:textId="77777777" w:rsidR="00FC39D9" w:rsidRDefault="00000000">
      <w:pPr>
        <w:pStyle w:val="Heading2"/>
      </w:pPr>
      <w:r>
        <w:t>15.3 Database Lock Alignment</w:t>
      </w:r>
    </w:p>
    <w:p w14:paraId="21409047" w14:textId="77777777" w:rsidR="00FC39D9" w:rsidRDefault="00000000">
      <w:pPr>
        <w:spacing w:after="160" w:line="276" w:lineRule="auto"/>
      </w:pPr>
      <w:r>
        <w:t>Site-level close-out and database lock are related but distinct milestones. A site can be operationally 'closed' (no more visits, IP reconciled) while its data is still contributing to open queries elsewhere in the study. The coordinator's real target is having every query on every one of their patients closed well ahead of the sponsor's planned lock date, not just finishing the last patient visit.</w:t>
      </w:r>
    </w:p>
    <w:p w14:paraId="44EBBCB3" w14:textId="77777777" w:rsidR="00FC39D9" w:rsidRDefault="00000000">
      <w:pPr>
        <w:pStyle w:val="Heading1"/>
      </w:pPr>
      <w:r>
        <w:t>16. Lessons Learned</w:t>
      </w:r>
    </w:p>
    <w:p w14:paraId="22B2EEC1" w14:textId="77777777" w:rsidR="00FC39D9" w:rsidRDefault="00000000">
      <w:pPr>
        <w:spacing w:after="160" w:line="276" w:lineRule="auto"/>
      </w:pPr>
      <w:r>
        <w:t>This chapter collects the kind of practical insight a coordinator typically only picks up after living inside a protocol like this for a few months. Reading it in advance will not replace that experience, but it should shorten the learning curve.</w:t>
      </w:r>
    </w:p>
    <w:p w14:paraId="457E1FC7" w14:textId="77777777" w:rsidR="00FC39D9" w:rsidRDefault="00000000">
      <w:pPr>
        <w:pStyle w:val="ListParagraph"/>
        <w:numPr>
          <w:ilvl w:val="0"/>
          <w:numId w:val="2"/>
        </w:numPr>
        <w:spacing w:after="90"/>
      </w:pPr>
      <w:r>
        <w:lastRenderedPageBreak/>
        <w:t>The titration phase (Day 15 to Week 12) is the real workload driver on this study, not the visit schedule on paper. Caseload planning should weight patients by how many are currently in active titration, not just by total enrolled count.</w:t>
      </w:r>
    </w:p>
    <w:p w14:paraId="129601F1" w14:textId="77777777" w:rsidR="00FC39D9" w:rsidRDefault="00000000">
      <w:pPr>
        <w:pStyle w:val="ListParagraph"/>
        <w:numPr>
          <w:ilvl w:val="0"/>
          <w:numId w:val="2"/>
        </w:numPr>
        <w:spacing w:after="90"/>
      </w:pPr>
      <w:r>
        <w:t xml:space="preserve">Treat the Week 26 RHC as the visit the whole trial depends on. If your site relies on an external </w:t>
      </w:r>
      <w:proofErr w:type="spellStart"/>
      <w:r>
        <w:t>cath</w:t>
      </w:r>
      <w:proofErr w:type="spellEnd"/>
      <w:r>
        <w:t xml:space="preserve"> lab, build the booking conversation into the Week 12 visit checklist so it never becomes a last-minute scramble.</w:t>
      </w:r>
    </w:p>
    <w:p w14:paraId="1FD53C91" w14:textId="77777777" w:rsidR="00FC39D9" w:rsidRDefault="00000000">
      <w:pPr>
        <w:pStyle w:val="ListParagraph"/>
        <w:numPr>
          <w:ilvl w:val="0"/>
          <w:numId w:val="2"/>
        </w:numPr>
        <w:spacing w:after="90"/>
      </w:pPr>
      <w:r>
        <w:t>The liver safety algorithm has hard timeframes (48–72 hours) built into it. Do not let it live only in the protocol PDF — put the thresholds and required actions somewhere the coordinator sees them without searching.</w:t>
      </w:r>
    </w:p>
    <w:p w14:paraId="52813B20" w14:textId="77777777" w:rsidR="00FC39D9" w:rsidRDefault="00000000">
      <w:pPr>
        <w:pStyle w:val="ListParagraph"/>
        <w:numPr>
          <w:ilvl w:val="0"/>
          <w:numId w:val="2"/>
        </w:numPr>
        <w:spacing w:after="90"/>
      </w:pPr>
      <w:r>
        <w:t>Only IPRA-01 versus placebo is blinded; the other two drugs are open-label. This distinction affects how you talk to patients about their treatment and what a monitor will and will not ask about regarding blinding integrity.</w:t>
      </w:r>
    </w:p>
    <w:p w14:paraId="42C61A29" w14:textId="77777777" w:rsidR="00FC39D9" w:rsidRDefault="00000000">
      <w:pPr>
        <w:pStyle w:val="ListParagraph"/>
        <w:numPr>
          <w:ilvl w:val="0"/>
          <w:numId w:val="2"/>
        </w:numPr>
        <w:spacing w:after="90"/>
      </w:pPr>
      <w:r>
        <w:t xml:space="preserve">Monthly liver and </w:t>
      </w:r>
      <w:proofErr w:type="spellStart"/>
      <w:r>
        <w:t>hemoglobin</w:t>
      </w:r>
      <w:proofErr w:type="spellEnd"/>
      <w:r>
        <w:t xml:space="preserve"> testing runs independently of the visit calendar. It needs its own tracking line, or it will quietly slip, especially for patients using home phlebotomy.</w:t>
      </w:r>
    </w:p>
    <w:p w14:paraId="44E66113" w14:textId="77777777" w:rsidR="00FC39D9" w:rsidRDefault="00000000">
      <w:pPr>
        <w:pStyle w:val="ListParagraph"/>
        <w:numPr>
          <w:ilvl w:val="0"/>
          <w:numId w:val="2"/>
        </w:numPr>
        <w:spacing w:after="90"/>
      </w:pPr>
      <w:r>
        <w:t>WOCBP contraception and pregnancy testing documentation is one of the more common audit findings on trials with a long treatment period — build it into the same monthly tracking mechanism as the liver labs.</w:t>
      </w:r>
    </w:p>
    <w:p w14:paraId="5526E8FF" w14:textId="77777777" w:rsidR="00FC39D9" w:rsidRDefault="00000000">
      <w:pPr>
        <w:pStyle w:val="ListParagraph"/>
        <w:numPr>
          <w:ilvl w:val="0"/>
          <w:numId w:val="2"/>
        </w:numPr>
        <w:spacing w:after="90"/>
      </w:pPr>
      <w:r>
        <w:t>A dispensed kit number that does not match the IRT-assigned number is a serious finding, not a paperwork nuisance — it goes to the heart of blinding integrity and IP accountability.</w:t>
      </w:r>
    </w:p>
    <w:p w14:paraId="50C56955" w14:textId="77777777" w:rsidR="00FC39D9" w:rsidRDefault="00000000">
      <w:pPr>
        <w:pStyle w:val="ListParagraph"/>
        <w:numPr>
          <w:ilvl w:val="0"/>
          <w:numId w:val="2"/>
        </w:numPr>
        <w:spacing w:after="90"/>
      </w:pPr>
      <w:r>
        <w:t>Protocol amendments matter operationally even when they read as small in the summary. Amendment 1 to this protocol widened the Week 26 visit window and added a biomarker timepoint — both details that affect scheduling and should trigger a specific staff briefing, not just a note in the ISF.</w:t>
      </w:r>
    </w:p>
    <w:p w14:paraId="4066D4E5" w14:textId="77777777" w:rsidR="00FC39D9" w:rsidRDefault="00000000">
      <w:pPr>
        <w:pStyle w:val="ListParagraph"/>
        <w:numPr>
          <w:ilvl w:val="0"/>
          <w:numId w:val="2"/>
        </w:numPr>
        <w:spacing w:after="90"/>
      </w:pPr>
      <w:r>
        <w:t>Delegation logs and training records are usually the first thing checked at a monitoring visit. Keeping them current in real time is far less work than reconstructing them retrospectively.</w:t>
      </w:r>
    </w:p>
    <w:p w14:paraId="44022810" w14:textId="77777777" w:rsidR="00FC39D9" w:rsidRDefault="00000000">
      <w:r>
        <w:br w:type="page"/>
      </w:r>
    </w:p>
    <w:p w14:paraId="21C7C39C" w14:textId="77777777" w:rsidR="00FC39D9" w:rsidRDefault="00000000">
      <w:pPr>
        <w:pStyle w:val="Heading1"/>
      </w:pPr>
      <w:r>
        <w:lastRenderedPageBreak/>
        <w:t>Appendix — Operational Templates</w:t>
      </w:r>
    </w:p>
    <w:p w14:paraId="07A7EA54" w14:textId="77777777" w:rsidR="00FC39D9" w:rsidRDefault="00000000">
      <w:pPr>
        <w:spacing w:after="160" w:line="276" w:lineRule="auto"/>
      </w:pPr>
      <w:r>
        <w:t>The templates in this appendix are simplified working examples, intended to show trainees the structure and level of detail expected in real site documents. Sites should adapt these to their own SOPs and to sponsor-provided versions where applicable.</w:t>
      </w:r>
    </w:p>
    <w:p w14:paraId="4FD543E6" w14:textId="77777777" w:rsidR="00FC39D9" w:rsidRDefault="00000000">
      <w:pPr>
        <w:pStyle w:val="Heading2"/>
      </w:pPr>
      <w:r>
        <w:t>A. Site Readiness Checklist</w:t>
      </w:r>
    </w:p>
    <w:tbl>
      <w:tblPr>
        <w:tblW w:w="9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5800"/>
        <w:gridCol w:w="1500"/>
        <w:gridCol w:w="2200"/>
      </w:tblGrid>
      <w:tr w:rsidR="00FC39D9" w14:paraId="21EFAF37" w14:textId="77777777">
        <w:tblPrEx>
          <w:tblCellMar>
            <w:top w:w="0" w:type="dxa"/>
            <w:bottom w:w="0" w:type="dxa"/>
          </w:tblCellMar>
        </w:tblPrEx>
        <w:trPr>
          <w:tblHeader/>
        </w:trPr>
        <w:tc>
          <w:tcPr>
            <w:tcW w:w="5800" w:type="dxa"/>
            <w:shd w:val="clear" w:color="auto" w:fill="44546A"/>
            <w:tcMar>
              <w:top w:w="80" w:type="dxa"/>
              <w:left w:w="100" w:type="dxa"/>
              <w:bottom w:w="80" w:type="dxa"/>
              <w:right w:w="100" w:type="dxa"/>
            </w:tcMar>
            <w:vAlign w:val="center"/>
          </w:tcPr>
          <w:p w14:paraId="439AAEEA" w14:textId="77777777" w:rsidR="00FC39D9" w:rsidRDefault="00000000">
            <w:r>
              <w:rPr>
                <w:b/>
                <w:bCs/>
                <w:color w:val="FFFFFF"/>
                <w:sz w:val="19"/>
                <w:szCs w:val="19"/>
              </w:rPr>
              <w:t>Item</w:t>
            </w:r>
          </w:p>
        </w:tc>
        <w:tc>
          <w:tcPr>
            <w:tcW w:w="1500" w:type="dxa"/>
            <w:shd w:val="clear" w:color="auto" w:fill="44546A"/>
            <w:tcMar>
              <w:top w:w="80" w:type="dxa"/>
              <w:left w:w="100" w:type="dxa"/>
              <w:bottom w:w="80" w:type="dxa"/>
              <w:right w:w="100" w:type="dxa"/>
            </w:tcMar>
            <w:vAlign w:val="center"/>
          </w:tcPr>
          <w:p w14:paraId="2035111D" w14:textId="77777777" w:rsidR="00FC39D9" w:rsidRDefault="00000000">
            <w:r>
              <w:rPr>
                <w:b/>
                <w:bCs/>
                <w:color w:val="FFFFFF"/>
                <w:sz w:val="19"/>
                <w:szCs w:val="19"/>
              </w:rPr>
              <w:t>Status (Y/N)</w:t>
            </w:r>
          </w:p>
        </w:tc>
        <w:tc>
          <w:tcPr>
            <w:tcW w:w="2200" w:type="dxa"/>
            <w:shd w:val="clear" w:color="auto" w:fill="44546A"/>
            <w:tcMar>
              <w:top w:w="80" w:type="dxa"/>
              <w:left w:w="100" w:type="dxa"/>
              <w:bottom w:w="80" w:type="dxa"/>
              <w:right w:w="100" w:type="dxa"/>
            </w:tcMar>
            <w:vAlign w:val="center"/>
          </w:tcPr>
          <w:p w14:paraId="2EDE51AA" w14:textId="77777777" w:rsidR="00FC39D9" w:rsidRDefault="00000000">
            <w:r>
              <w:rPr>
                <w:b/>
                <w:bCs/>
                <w:color w:val="FFFFFF"/>
                <w:sz w:val="19"/>
                <w:szCs w:val="19"/>
              </w:rPr>
              <w:t>Comments</w:t>
            </w:r>
          </w:p>
        </w:tc>
      </w:tr>
      <w:tr w:rsidR="00FC39D9" w14:paraId="016B0402"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03219D43" w14:textId="77777777" w:rsidR="00FC39D9" w:rsidRDefault="00000000">
            <w:r>
              <w:rPr>
                <w:sz w:val="19"/>
                <w:szCs w:val="19"/>
              </w:rPr>
              <w:t>Ethics/IRB approval obtained for protocol, IB, and ICF</w:t>
            </w:r>
          </w:p>
        </w:tc>
        <w:tc>
          <w:tcPr>
            <w:tcW w:w="1500" w:type="dxa"/>
            <w:shd w:val="clear" w:color="auto" w:fill="FFFFFF"/>
            <w:tcMar>
              <w:top w:w="80" w:type="dxa"/>
              <w:left w:w="100" w:type="dxa"/>
              <w:bottom w:w="80" w:type="dxa"/>
              <w:right w:w="100" w:type="dxa"/>
            </w:tcMar>
            <w:vAlign w:val="center"/>
          </w:tcPr>
          <w:p w14:paraId="3B9AC35F" w14:textId="77777777" w:rsidR="00FC39D9" w:rsidRDefault="00FC39D9"/>
        </w:tc>
        <w:tc>
          <w:tcPr>
            <w:tcW w:w="2200" w:type="dxa"/>
            <w:shd w:val="clear" w:color="auto" w:fill="FFFFFF"/>
            <w:tcMar>
              <w:top w:w="80" w:type="dxa"/>
              <w:left w:w="100" w:type="dxa"/>
              <w:bottom w:w="80" w:type="dxa"/>
              <w:right w:w="100" w:type="dxa"/>
            </w:tcMar>
            <w:vAlign w:val="center"/>
          </w:tcPr>
          <w:p w14:paraId="3B45D78D" w14:textId="77777777" w:rsidR="00FC39D9" w:rsidRDefault="00FC39D9"/>
        </w:tc>
      </w:tr>
      <w:tr w:rsidR="00FC39D9" w14:paraId="6CF02703"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018574A8" w14:textId="77777777" w:rsidR="00FC39D9" w:rsidRDefault="00000000">
            <w:r>
              <w:rPr>
                <w:sz w:val="19"/>
                <w:szCs w:val="19"/>
              </w:rPr>
              <w:t>Clinical trial agreement and budget fully executed</w:t>
            </w:r>
          </w:p>
        </w:tc>
        <w:tc>
          <w:tcPr>
            <w:tcW w:w="1500" w:type="dxa"/>
            <w:shd w:val="clear" w:color="auto" w:fill="F2F2F2"/>
            <w:tcMar>
              <w:top w:w="80" w:type="dxa"/>
              <w:left w:w="100" w:type="dxa"/>
              <w:bottom w:w="80" w:type="dxa"/>
              <w:right w:w="100" w:type="dxa"/>
            </w:tcMar>
            <w:vAlign w:val="center"/>
          </w:tcPr>
          <w:p w14:paraId="77D8FFC9" w14:textId="77777777" w:rsidR="00FC39D9" w:rsidRDefault="00FC39D9"/>
        </w:tc>
        <w:tc>
          <w:tcPr>
            <w:tcW w:w="2200" w:type="dxa"/>
            <w:shd w:val="clear" w:color="auto" w:fill="F2F2F2"/>
            <w:tcMar>
              <w:top w:w="80" w:type="dxa"/>
              <w:left w:w="100" w:type="dxa"/>
              <w:bottom w:w="80" w:type="dxa"/>
              <w:right w:w="100" w:type="dxa"/>
            </w:tcMar>
            <w:vAlign w:val="center"/>
          </w:tcPr>
          <w:p w14:paraId="5AD9B48B" w14:textId="77777777" w:rsidR="00FC39D9" w:rsidRDefault="00FC39D9"/>
        </w:tc>
      </w:tr>
      <w:tr w:rsidR="00FC39D9" w14:paraId="2F68E689"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54159B38" w14:textId="77777777" w:rsidR="00FC39D9" w:rsidRDefault="00000000">
            <w:r>
              <w:rPr>
                <w:sz w:val="19"/>
                <w:szCs w:val="19"/>
              </w:rPr>
              <w:t>Pharmacy storage area assessed and compliant (locked, temperature-monitored)</w:t>
            </w:r>
          </w:p>
        </w:tc>
        <w:tc>
          <w:tcPr>
            <w:tcW w:w="1500" w:type="dxa"/>
            <w:shd w:val="clear" w:color="auto" w:fill="FFFFFF"/>
            <w:tcMar>
              <w:top w:w="80" w:type="dxa"/>
              <w:left w:w="100" w:type="dxa"/>
              <w:bottom w:w="80" w:type="dxa"/>
              <w:right w:w="100" w:type="dxa"/>
            </w:tcMar>
            <w:vAlign w:val="center"/>
          </w:tcPr>
          <w:p w14:paraId="5BF09A5E" w14:textId="77777777" w:rsidR="00FC39D9" w:rsidRDefault="00FC39D9"/>
        </w:tc>
        <w:tc>
          <w:tcPr>
            <w:tcW w:w="2200" w:type="dxa"/>
            <w:shd w:val="clear" w:color="auto" w:fill="FFFFFF"/>
            <w:tcMar>
              <w:top w:w="80" w:type="dxa"/>
              <w:left w:w="100" w:type="dxa"/>
              <w:bottom w:w="80" w:type="dxa"/>
              <w:right w:w="100" w:type="dxa"/>
            </w:tcMar>
            <w:vAlign w:val="center"/>
          </w:tcPr>
          <w:p w14:paraId="385EFEFC" w14:textId="77777777" w:rsidR="00FC39D9" w:rsidRDefault="00FC39D9"/>
        </w:tc>
      </w:tr>
      <w:tr w:rsidR="00FC39D9" w14:paraId="04B61D06"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6660D934" w14:textId="77777777" w:rsidR="00FC39D9" w:rsidRDefault="00000000">
            <w:r>
              <w:rPr>
                <w:sz w:val="19"/>
                <w:szCs w:val="19"/>
              </w:rPr>
              <w:t>IRT/IWRS access provisioned and training completed</w:t>
            </w:r>
          </w:p>
        </w:tc>
        <w:tc>
          <w:tcPr>
            <w:tcW w:w="1500" w:type="dxa"/>
            <w:shd w:val="clear" w:color="auto" w:fill="F2F2F2"/>
            <w:tcMar>
              <w:top w:w="80" w:type="dxa"/>
              <w:left w:w="100" w:type="dxa"/>
              <w:bottom w:w="80" w:type="dxa"/>
              <w:right w:w="100" w:type="dxa"/>
            </w:tcMar>
            <w:vAlign w:val="center"/>
          </w:tcPr>
          <w:p w14:paraId="2C798C03" w14:textId="77777777" w:rsidR="00FC39D9" w:rsidRDefault="00FC39D9"/>
        </w:tc>
        <w:tc>
          <w:tcPr>
            <w:tcW w:w="2200" w:type="dxa"/>
            <w:shd w:val="clear" w:color="auto" w:fill="F2F2F2"/>
            <w:tcMar>
              <w:top w:w="80" w:type="dxa"/>
              <w:left w:w="100" w:type="dxa"/>
              <w:bottom w:w="80" w:type="dxa"/>
              <w:right w:w="100" w:type="dxa"/>
            </w:tcMar>
            <w:vAlign w:val="center"/>
          </w:tcPr>
          <w:p w14:paraId="4DFD2D0D" w14:textId="77777777" w:rsidR="00FC39D9" w:rsidRDefault="00FC39D9"/>
        </w:tc>
      </w:tr>
      <w:tr w:rsidR="00FC39D9" w14:paraId="48860132"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598425BA" w14:textId="77777777" w:rsidR="00FC39D9" w:rsidRDefault="00000000">
            <w:r>
              <w:rPr>
                <w:sz w:val="19"/>
                <w:szCs w:val="19"/>
              </w:rPr>
              <w:t>EDC access provisioned and training completed</w:t>
            </w:r>
          </w:p>
        </w:tc>
        <w:tc>
          <w:tcPr>
            <w:tcW w:w="1500" w:type="dxa"/>
            <w:shd w:val="clear" w:color="auto" w:fill="FFFFFF"/>
            <w:tcMar>
              <w:top w:w="80" w:type="dxa"/>
              <w:left w:w="100" w:type="dxa"/>
              <w:bottom w:w="80" w:type="dxa"/>
              <w:right w:w="100" w:type="dxa"/>
            </w:tcMar>
            <w:vAlign w:val="center"/>
          </w:tcPr>
          <w:p w14:paraId="3DA83367" w14:textId="77777777" w:rsidR="00FC39D9" w:rsidRDefault="00FC39D9"/>
        </w:tc>
        <w:tc>
          <w:tcPr>
            <w:tcW w:w="2200" w:type="dxa"/>
            <w:shd w:val="clear" w:color="auto" w:fill="FFFFFF"/>
            <w:tcMar>
              <w:top w:w="80" w:type="dxa"/>
              <w:left w:w="100" w:type="dxa"/>
              <w:bottom w:w="80" w:type="dxa"/>
              <w:right w:w="100" w:type="dxa"/>
            </w:tcMar>
            <w:vAlign w:val="center"/>
          </w:tcPr>
          <w:p w14:paraId="78C8C04B" w14:textId="77777777" w:rsidR="00FC39D9" w:rsidRDefault="00FC39D9"/>
        </w:tc>
      </w:tr>
      <w:tr w:rsidR="00FC39D9" w14:paraId="3D47DF3D"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57E8B00F" w14:textId="77777777" w:rsidR="00FC39D9" w:rsidRDefault="00000000">
            <w:r>
              <w:rPr>
                <w:sz w:val="19"/>
                <w:szCs w:val="19"/>
              </w:rPr>
              <w:t>Central lab account active; kit supply confirmed</w:t>
            </w:r>
          </w:p>
        </w:tc>
        <w:tc>
          <w:tcPr>
            <w:tcW w:w="1500" w:type="dxa"/>
            <w:shd w:val="clear" w:color="auto" w:fill="F2F2F2"/>
            <w:tcMar>
              <w:top w:w="80" w:type="dxa"/>
              <w:left w:w="100" w:type="dxa"/>
              <w:bottom w:w="80" w:type="dxa"/>
              <w:right w:w="100" w:type="dxa"/>
            </w:tcMar>
            <w:vAlign w:val="center"/>
          </w:tcPr>
          <w:p w14:paraId="14B70193" w14:textId="77777777" w:rsidR="00FC39D9" w:rsidRDefault="00FC39D9"/>
        </w:tc>
        <w:tc>
          <w:tcPr>
            <w:tcW w:w="2200" w:type="dxa"/>
            <w:shd w:val="clear" w:color="auto" w:fill="F2F2F2"/>
            <w:tcMar>
              <w:top w:w="80" w:type="dxa"/>
              <w:left w:w="100" w:type="dxa"/>
              <w:bottom w:w="80" w:type="dxa"/>
              <w:right w:w="100" w:type="dxa"/>
            </w:tcMar>
            <w:vAlign w:val="center"/>
          </w:tcPr>
          <w:p w14:paraId="4BC41AE0" w14:textId="77777777" w:rsidR="00FC39D9" w:rsidRDefault="00FC39D9"/>
        </w:tc>
      </w:tr>
      <w:tr w:rsidR="00FC39D9" w14:paraId="2F57C090"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094BF52A" w14:textId="77777777" w:rsidR="00FC39D9" w:rsidRDefault="00000000">
            <w:r>
              <w:rPr>
                <w:sz w:val="19"/>
                <w:szCs w:val="19"/>
              </w:rPr>
              <w:t>Courier/shipment process confirmed</w:t>
            </w:r>
          </w:p>
        </w:tc>
        <w:tc>
          <w:tcPr>
            <w:tcW w:w="1500" w:type="dxa"/>
            <w:shd w:val="clear" w:color="auto" w:fill="FFFFFF"/>
            <w:tcMar>
              <w:top w:w="80" w:type="dxa"/>
              <w:left w:w="100" w:type="dxa"/>
              <w:bottom w:w="80" w:type="dxa"/>
              <w:right w:w="100" w:type="dxa"/>
            </w:tcMar>
            <w:vAlign w:val="center"/>
          </w:tcPr>
          <w:p w14:paraId="4209031B" w14:textId="77777777" w:rsidR="00FC39D9" w:rsidRDefault="00FC39D9"/>
        </w:tc>
        <w:tc>
          <w:tcPr>
            <w:tcW w:w="2200" w:type="dxa"/>
            <w:shd w:val="clear" w:color="auto" w:fill="FFFFFF"/>
            <w:tcMar>
              <w:top w:w="80" w:type="dxa"/>
              <w:left w:w="100" w:type="dxa"/>
              <w:bottom w:w="80" w:type="dxa"/>
              <w:right w:w="100" w:type="dxa"/>
            </w:tcMar>
            <w:vAlign w:val="center"/>
          </w:tcPr>
          <w:p w14:paraId="6EC8FB26" w14:textId="77777777" w:rsidR="00FC39D9" w:rsidRDefault="00FC39D9"/>
        </w:tc>
      </w:tr>
      <w:tr w:rsidR="00FC39D9" w14:paraId="446728F6"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5483338C" w14:textId="77777777" w:rsidR="00FC39D9" w:rsidRDefault="00000000">
            <w:r>
              <w:rPr>
                <w:sz w:val="19"/>
                <w:szCs w:val="19"/>
              </w:rPr>
              <w:t>RHC capability confirmed (on-site or referral pathway with scheduling agreement)</w:t>
            </w:r>
          </w:p>
        </w:tc>
        <w:tc>
          <w:tcPr>
            <w:tcW w:w="1500" w:type="dxa"/>
            <w:shd w:val="clear" w:color="auto" w:fill="F2F2F2"/>
            <w:tcMar>
              <w:top w:w="80" w:type="dxa"/>
              <w:left w:w="100" w:type="dxa"/>
              <w:bottom w:w="80" w:type="dxa"/>
              <w:right w:w="100" w:type="dxa"/>
            </w:tcMar>
            <w:vAlign w:val="center"/>
          </w:tcPr>
          <w:p w14:paraId="485D5687" w14:textId="77777777" w:rsidR="00FC39D9" w:rsidRDefault="00FC39D9"/>
        </w:tc>
        <w:tc>
          <w:tcPr>
            <w:tcW w:w="2200" w:type="dxa"/>
            <w:shd w:val="clear" w:color="auto" w:fill="F2F2F2"/>
            <w:tcMar>
              <w:top w:w="80" w:type="dxa"/>
              <w:left w:w="100" w:type="dxa"/>
              <w:bottom w:w="80" w:type="dxa"/>
              <w:right w:w="100" w:type="dxa"/>
            </w:tcMar>
            <w:vAlign w:val="center"/>
          </w:tcPr>
          <w:p w14:paraId="3FCD5C9F" w14:textId="77777777" w:rsidR="00FC39D9" w:rsidRDefault="00FC39D9"/>
        </w:tc>
      </w:tr>
      <w:tr w:rsidR="00FC39D9" w14:paraId="32D9A212"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449B401B" w14:textId="77777777" w:rsidR="00FC39D9" w:rsidRDefault="00000000">
            <w:r>
              <w:rPr>
                <w:sz w:val="19"/>
                <w:szCs w:val="19"/>
              </w:rPr>
              <w:t>6MWT corridor and equipment (stopwatch, pulse oximeter, BP device) available</w:t>
            </w:r>
          </w:p>
        </w:tc>
        <w:tc>
          <w:tcPr>
            <w:tcW w:w="1500" w:type="dxa"/>
            <w:shd w:val="clear" w:color="auto" w:fill="FFFFFF"/>
            <w:tcMar>
              <w:top w:w="80" w:type="dxa"/>
              <w:left w:w="100" w:type="dxa"/>
              <w:bottom w:w="80" w:type="dxa"/>
              <w:right w:w="100" w:type="dxa"/>
            </w:tcMar>
            <w:vAlign w:val="center"/>
          </w:tcPr>
          <w:p w14:paraId="12F72460" w14:textId="77777777" w:rsidR="00FC39D9" w:rsidRDefault="00FC39D9"/>
        </w:tc>
        <w:tc>
          <w:tcPr>
            <w:tcW w:w="2200" w:type="dxa"/>
            <w:shd w:val="clear" w:color="auto" w:fill="FFFFFF"/>
            <w:tcMar>
              <w:top w:w="80" w:type="dxa"/>
              <w:left w:w="100" w:type="dxa"/>
              <w:bottom w:w="80" w:type="dxa"/>
              <w:right w:w="100" w:type="dxa"/>
            </w:tcMar>
            <w:vAlign w:val="center"/>
          </w:tcPr>
          <w:p w14:paraId="2E3B452D" w14:textId="77777777" w:rsidR="00FC39D9" w:rsidRDefault="00FC39D9"/>
        </w:tc>
      </w:tr>
      <w:tr w:rsidR="00FC39D9" w14:paraId="7F69D2D4"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622B5465" w14:textId="77777777" w:rsidR="00FC39D9" w:rsidRDefault="00000000">
            <w:r>
              <w:rPr>
                <w:sz w:val="19"/>
                <w:szCs w:val="19"/>
              </w:rPr>
              <w:t>Delegation log completed and signed by PI</w:t>
            </w:r>
          </w:p>
        </w:tc>
        <w:tc>
          <w:tcPr>
            <w:tcW w:w="1500" w:type="dxa"/>
            <w:shd w:val="clear" w:color="auto" w:fill="F2F2F2"/>
            <w:tcMar>
              <w:top w:w="80" w:type="dxa"/>
              <w:left w:w="100" w:type="dxa"/>
              <w:bottom w:w="80" w:type="dxa"/>
              <w:right w:w="100" w:type="dxa"/>
            </w:tcMar>
            <w:vAlign w:val="center"/>
          </w:tcPr>
          <w:p w14:paraId="335187F3" w14:textId="77777777" w:rsidR="00FC39D9" w:rsidRDefault="00FC39D9"/>
        </w:tc>
        <w:tc>
          <w:tcPr>
            <w:tcW w:w="2200" w:type="dxa"/>
            <w:shd w:val="clear" w:color="auto" w:fill="F2F2F2"/>
            <w:tcMar>
              <w:top w:w="80" w:type="dxa"/>
              <w:left w:w="100" w:type="dxa"/>
              <w:bottom w:w="80" w:type="dxa"/>
              <w:right w:w="100" w:type="dxa"/>
            </w:tcMar>
            <w:vAlign w:val="center"/>
          </w:tcPr>
          <w:p w14:paraId="59D94646" w14:textId="77777777" w:rsidR="00FC39D9" w:rsidRDefault="00FC39D9"/>
        </w:tc>
      </w:tr>
      <w:tr w:rsidR="00FC39D9" w14:paraId="152BCEDD"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19CA0255" w14:textId="77777777" w:rsidR="00FC39D9" w:rsidRDefault="00000000">
            <w:r>
              <w:rPr>
                <w:sz w:val="19"/>
                <w:szCs w:val="19"/>
              </w:rPr>
              <w:t>Protocol-specific staff training completed and documented</w:t>
            </w:r>
          </w:p>
        </w:tc>
        <w:tc>
          <w:tcPr>
            <w:tcW w:w="1500" w:type="dxa"/>
            <w:shd w:val="clear" w:color="auto" w:fill="FFFFFF"/>
            <w:tcMar>
              <w:top w:w="80" w:type="dxa"/>
              <w:left w:w="100" w:type="dxa"/>
              <w:bottom w:w="80" w:type="dxa"/>
              <w:right w:w="100" w:type="dxa"/>
            </w:tcMar>
            <w:vAlign w:val="center"/>
          </w:tcPr>
          <w:p w14:paraId="75C83F55" w14:textId="77777777" w:rsidR="00FC39D9" w:rsidRDefault="00FC39D9"/>
        </w:tc>
        <w:tc>
          <w:tcPr>
            <w:tcW w:w="2200" w:type="dxa"/>
            <w:shd w:val="clear" w:color="auto" w:fill="FFFFFF"/>
            <w:tcMar>
              <w:top w:w="80" w:type="dxa"/>
              <w:left w:w="100" w:type="dxa"/>
              <w:bottom w:w="80" w:type="dxa"/>
              <w:right w:w="100" w:type="dxa"/>
            </w:tcMar>
            <w:vAlign w:val="center"/>
          </w:tcPr>
          <w:p w14:paraId="1E329286" w14:textId="77777777" w:rsidR="00FC39D9" w:rsidRDefault="00FC39D9"/>
        </w:tc>
      </w:tr>
      <w:tr w:rsidR="00FC39D9" w14:paraId="0003F51F"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4CAB9FE5" w14:textId="77777777" w:rsidR="00FC39D9" w:rsidRDefault="00000000">
            <w:r>
              <w:rPr>
                <w:sz w:val="19"/>
                <w:szCs w:val="19"/>
              </w:rPr>
              <w:t>SIV completed</w:t>
            </w:r>
          </w:p>
        </w:tc>
        <w:tc>
          <w:tcPr>
            <w:tcW w:w="1500" w:type="dxa"/>
            <w:shd w:val="clear" w:color="auto" w:fill="F2F2F2"/>
            <w:tcMar>
              <w:top w:w="80" w:type="dxa"/>
              <w:left w:w="100" w:type="dxa"/>
              <w:bottom w:w="80" w:type="dxa"/>
              <w:right w:w="100" w:type="dxa"/>
            </w:tcMar>
            <w:vAlign w:val="center"/>
          </w:tcPr>
          <w:p w14:paraId="6F21E317" w14:textId="77777777" w:rsidR="00FC39D9" w:rsidRDefault="00FC39D9"/>
        </w:tc>
        <w:tc>
          <w:tcPr>
            <w:tcW w:w="2200" w:type="dxa"/>
            <w:shd w:val="clear" w:color="auto" w:fill="F2F2F2"/>
            <w:tcMar>
              <w:top w:w="80" w:type="dxa"/>
              <w:left w:w="100" w:type="dxa"/>
              <w:bottom w:w="80" w:type="dxa"/>
              <w:right w:w="100" w:type="dxa"/>
            </w:tcMar>
            <w:vAlign w:val="center"/>
          </w:tcPr>
          <w:p w14:paraId="0211CD77" w14:textId="77777777" w:rsidR="00FC39D9" w:rsidRDefault="00FC39D9"/>
        </w:tc>
      </w:tr>
    </w:tbl>
    <w:p w14:paraId="32DF6428" w14:textId="77777777" w:rsidR="00FC39D9" w:rsidRDefault="00000000">
      <w:pPr>
        <w:pStyle w:val="Heading2"/>
      </w:pPr>
      <w:r>
        <w:t>B. Delegation of Authority Log</w:t>
      </w:r>
    </w:p>
    <w:tbl>
      <w:tblPr>
        <w:tblW w:w="9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1587"/>
        <w:gridCol w:w="1971"/>
        <w:gridCol w:w="2459"/>
        <w:gridCol w:w="1357"/>
        <w:gridCol w:w="2126"/>
      </w:tblGrid>
      <w:tr w:rsidR="00FC39D9" w14:paraId="7038BDDE" w14:textId="77777777">
        <w:tblPrEx>
          <w:tblCellMar>
            <w:top w:w="0" w:type="dxa"/>
            <w:bottom w:w="0" w:type="dxa"/>
          </w:tblCellMar>
        </w:tblPrEx>
        <w:trPr>
          <w:tblHeader/>
        </w:trPr>
        <w:tc>
          <w:tcPr>
            <w:tcW w:w="1700" w:type="dxa"/>
            <w:shd w:val="clear" w:color="auto" w:fill="44546A"/>
            <w:tcMar>
              <w:top w:w="80" w:type="dxa"/>
              <w:left w:w="100" w:type="dxa"/>
              <w:bottom w:w="80" w:type="dxa"/>
              <w:right w:w="100" w:type="dxa"/>
            </w:tcMar>
            <w:vAlign w:val="center"/>
          </w:tcPr>
          <w:p w14:paraId="3F121E5A" w14:textId="77777777" w:rsidR="00FC39D9" w:rsidRDefault="00000000">
            <w:r>
              <w:rPr>
                <w:b/>
                <w:bCs/>
                <w:color w:val="FFFFFF"/>
                <w:sz w:val="19"/>
                <w:szCs w:val="19"/>
              </w:rPr>
              <w:t>Staff Name</w:t>
            </w:r>
          </w:p>
        </w:tc>
        <w:tc>
          <w:tcPr>
            <w:tcW w:w="1500" w:type="dxa"/>
            <w:shd w:val="clear" w:color="auto" w:fill="44546A"/>
            <w:tcMar>
              <w:top w:w="80" w:type="dxa"/>
              <w:left w:w="100" w:type="dxa"/>
              <w:bottom w:w="80" w:type="dxa"/>
              <w:right w:w="100" w:type="dxa"/>
            </w:tcMar>
            <w:vAlign w:val="center"/>
          </w:tcPr>
          <w:p w14:paraId="35234B39" w14:textId="77777777" w:rsidR="00FC39D9" w:rsidRDefault="00000000">
            <w:r>
              <w:rPr>
                <w:b/>
                <w:bCs/>
                <w:color w:val="FFFFFF"/>
                <w:sz w:val="19"/>
                <w:szCs w:val="19"/>
              </w:rPr>
              <w:t>Role</w:t>
            </w:r>
          </w:p>
        </w:tc>
        <w:tc>
          <w:tcPr>
            <w:tcW w:w="2600" w:type="dxa"/>
            <w:shd w:val="clear" w:color="auto" w:fill="44546A"/>
            <w:tcMar>
              <w:top w:w="80" w:type="dxa"/>
              <w:left w:w="100" w:type="dxa"/>
              <w:bottom w:w="80" w:type="dxa"/>
              <w:right w:w="100" w:type="dxa"/>
            </w:tcMar>
            <w:vAlign w:val="center"/>
          </w:tcPr>
          <w:p w14:paraId="26098C18" w14:textId="77777777" w:rsidR="00FC39D9" w:rsidRDefault="00000000">
            <w:r>
              <w:rPr>
                <w:b/>
                <w:bCs/>
                <w:color w:val="FFFFFF"/>
                <w:sz w:val="19"/>
                <w:szCs w:val="19"/>
              </w:rPr>
              <w:t>Delegated Task(s)</w:t>
            </w:r>
          </w:p>
        </w:tc>
        <w:tc>
          <w:tcPr>
            <w:tcW w:w="1400" w:type="dxa"/>
            <w:shd w:val="clear" w:color="auto" w:fill="44546A"/>
            <w:tcMar>
              <w:top w:w="80" w:type="dxa"/>
              <w:left w:w="100" w:type="dxa"/>
              <w:bottom w:w="80" w:type="dxa"/>
              <w:right w:w="100" w:type="dxa"/>
            </w:tcMar>
            <w:vAlign w:val="center"/>
          </w:tcPr>
          <w:p w14:paraId="57504C02" w14:textId="77777777" w:rsidR="00FC39D9" w:rsidRDefault="00000000">
            <w:r>
              <w:rPr>
                <w:b/>
                <w:bCs/>
                <w:color w:val="FFFFFF"/>
                <w:sz w:val="19"/>
                <w:szCs w:val="19"/>
              </w:rPr>
              <w:t>Signature</w:t>
            </w:r>
          </w:p>
        </w:tc>
        <w:tc>
          <w:tcPr>
            <w:tcW w:w="2300" w:type="dxa"/>
            <w:shd w:val="clear" w:color="auto" w:fill="44546A"/>
            <w:tcMar>
              <w:top w:w="80" w:type="dxa"/>
              <w:left w:w="100" w:type="dxa"/>
              <w:bottom w:w="80" w:type="dxa"/>
              <w:right w:w="100" w:type="dxa"/>
            </w:tcMar>
            <w:vAlign w:val="center"/>
          </w:tcPr>
          <w:p w14:paraId="3E80DA05" w14:textId="77777777" w:rsidR="00FC39D9" w:rsidRDefault="00000000">
            <w:r>
              <w:rPr>
                <w:b/>
                <w:bCs/>
                <w:color w:val="FFFFFF"/>
                <w:sz w:val="19"/>
                <w:szCs w:val="19"/>
              </w:rPr>
              <w:t>Dates Active (From–To)</w:t>
            </w:r>
          </w:p>
        </w:tc>
      </w:tr>
      <w:tr w:rsidR="00FC39D9" w14:paraId="0B76FDF9"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4BD8D580" w14:textId="77777777" w:rsidR="00FC39D9" w:rsidRDefault="00FC39D9"/>
        </w:tc>
        <w:tc>
          <w:tcPr>
            <w:tcW w:w="1500" w:type="dxa"/>
            <w:shd w:val="clear" w:color="auto" w:fill="FFFFFF"/>
            <w:tcMar>
              <w:top w:w="80" w:type="dxa"/>
              <w:left w:w="100" w:type="dxa"/>
              <w:bottom w:w="80" w:type="dxa"/>
              <w:right w:w="100" w:type="dxa"/>
            </w:tcMar>
            <w:vAlign w:val="center"/>
          </w:tcPr>
          <w:p w14:paraId="5883600C" w14:textId="77777777" w:rsidR="00FC39D9" w:rsidRDefault="00000000">
            <w:r>
              <w:rPr>
                <w:sz w:val="19"/>
                <w:szCs w:val="19"/>
              </w:rPr>
              <w:t>Principal Investigator</w:t>
            </w:r>
          </w:p>
        </w:tc>
        <w:tc>
          <w:tcPr>
            <w:tcW w:w="2600" w:type="dxa"/>
            <w:shd w:val="clear" w:color="auto" w:fill="FFFFFF"/>
            <w:tcMar>
              <w:top w:w="80" w:type="dxa"/>
              <w:left w:w="100" w:type="dxa"/>
              <w:bottom w:w="80" w:type="dxa"/>
              <w:right w:w="100" w:type="dxa"/>
            </w:tcMar>
            <w:vAlign w:val="center"/>
          </w:tcPr>
          <w:p w14:paraId="43089050" w14:textId="77777777" w:rsidR="00FC39D9" w:rsidRDefault="00000000">
            <w:r>
              <w:rPr>
                <w:sz w:val="19"/>
                <w:szCs w:val="19"/>
              </w:rPr>
              <w:t>Overall responsibility; eligibility sign-off; safety decisions</w:t>
            </w:r>
          </w:p>
        </w:tc>
        <w:tc>
          <w:tcPr>
            <w:tcW w:w="1400" w:type="dxa"/>
            <w:shd w:val="clear" w:color="auto" w:fill="FFFFFF"/>
            <w:tcMar>
              <w:top w:w="80" w:type="dxa"/>
              <w:left w:w="100" w:type="dxa"/>
              <w:bottom w:w="80" w:type="dxa"/>
              <w:right w:w="100" w:type="dxa"/>
            </w:tcMar>
            <w:vAlign w:val="center"/>
          </w:tcPr>
          <w:p w14:paraId="3A9532BE" w14:textId="77777777" w:rsidR="00FC39D9" w:rsidRDefault="00FC39D9"/>
        </w:tc>
        <w:tc>
          <w:tcPr>
            <w:tcW w:w="2300" w:type="dxa"/>
            <w:shd w:val="clear" w:color="auto" w:fill="FFFFFF"/>
            <w:tcMar>
              <w:top w:w="80" w:type="dxa"/>
              <w:left w:w="100" w:type="dxa"/>
              <w:bottom w:w="80" w:type="dxa"/>
              <w:right w:w="100" w:type="dxa"/>
            </w:tcMar>
            <w:vAlign w:val="center"/>
          </w:tcPr>
          <w:p w14:paraId="08C86929" w14:textId="77777777" w:rsidR="00FC39D9" w:rsidRDefault="00FC39D9"/>
        </w:tc>
      </w:tr>
      <w:tr w:rsidR="00FC39D9" w14:paraId="2A9C47F7"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EF9F625" w14:textId="77777777" w:rsidR="00FC39D9" w:rsidRDefault="00FC39D9"/>
        </w:tc>
        <w:tc>
          <w:tcPr>
            <w:tcW w:w="1500" w:type="dxa"/>
            <w:shd w:val="clear" w:color="auto" w:fill="F2F2F2"/>
            <w:tcMar>
              <w:top w:w="80" w:type="dxa"/>
              <w:left w:w="100" w:type="dxa"/>
              <w:bottom w:w="80" w:type="dxa"/>
              <w:right w:w="100" w:type="dxa"/>
            </w:tcMar>
            <w:vAlign w:val="center"/>
          </w:tcPr>
          <w:p w14:paraId="0664EE98" w14:textId="77777777" w:rsidR="00FC39D9" w:rsidRDefault="00000000">
            <w:r>
              <w:rPr>
                <w:sz w:val="19"/>
                <w:szCs w:val="19"/>
              </w:rPr>
              <w:t>Sub-Investigator</w:t>
            </w:r>
          </w:p>
        </w:tc>
        <w:tc>
          <w:tcPr>
            <w:tcW w:w="2600" w:type="dxa"/>
            <w:shd w:val="clear" w:color="auto" w:fill="F2F2F2"/>
            <w:tcMar>
              <w:top w:w="80" w:type="dxa"/>
              <w:left w:w="100" w:type="dxa"/>
              <w:bottom w:w="80" w:type="dxa"/>
              <w:right w:w="100" w:type="dxa"/>
            </w:tcMar>
            <w:vAlign w:val="center"/>
          </w:tcPr>
          <w:p w14:paraId="6921E827" w14:textId="77777777" w:rsidR="00FC39D9" w:rsidRDefault="00000000">
            <w:r>
              <w:rPr>
                <w:sz w:val="19"/>
                <w:szCs w:val="19"/>
              </w:rPr>
              <w:t>Eligibility assessment; consent; medical decisions</w:t>
            </w:r>
          </w:p>
        </w:tc>
        <w:tc>
          <w:tcPr>
            <w:tcW w:w="1400" w:type="dxa"/>
            <w:shd w:val="clear" w:color="auto" w:fill="F2F2F2"/>
            <w:tcMar>
              <w:top w:w="80" w:type="dxa"/>
              <w:left w:w="100" w:type="dxa"/>
              <w:bottom w:w="80" w:type="dxa"/>
              <w:right w:w="100" w:type="dxa"/>
            </w:tcMar>
            <w:vAlign w:val="center"/>
          </w:tcPr>
          <w:p w14:paraId="54D3FD14" w14:textId="77777777" w:rsidR="00FC39D9" w:rsidRDefault="00FC39D9"/>
        </w:tc>
        <w:tc>
          <w:tcPr>
            <w:tcW w:w="2300" w:type="dxa"/>
            <w:shd w:val="clear" w:color="auto" w:fill="F2F2F2"/>
            <w:tcMar>
              <w:top w:w="80" w:type="dxa"/>
              <w:left w:w="100" w:type="dxa"/>
              <w:bottom w:w="80" w:type="dxa"/>
              <w:right w:w="100" w:type="dxa"/>
            </w:tcMar>
            <w:vAlign w:val="center"/>
          </w:tcPr>
          <w:p w14:paraId="63A0CB18" w14:textId="77777777" w:rsidR="00FC39D9" w:rsidRDefault="00FC39D9"/>
        </w:tc>
      </w:tr>
      <w:tr w:rsidR="00FC39D9" w14:paraId="31DF7D65"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488185F4" w14:textId="77777777" w:rsidR="00FC39D9" w:rsidRDefault="00FC39D9"/>
        </w:tc>
        <w:tc>
          <w:tcPr>
            <w:tcW w:w="1500" w:type="dxa"/>
            <w:shd w:val="clear" w:color="auto" w:fill="FFFFFF"/>
            <w:tcMar>
              <w:top w:w="80" w:type="dxa"/>
              <w:left w:w="100" w:type="dxa"/>
              <w:bottom w:w="80" w:type="dxa"/>
              <w:right w:w="100" w:type="dxa"/>
            </w:tcMar>
            <w:vAlign w:val="center"/>
          </w:tcPr>
          <w:p w14:paraId="2BFCB676" w14:textId="77777777" w:rsidR="00FC39D9" w:rsidRDefault="00000000">
            <w:r>
              <w:rPr>
                <w:sz w:val="19"/>
                <w:szCs w:val="19"/>
              </w:rPr>
              <w:t>Study Coordinator</w:t>
            </w:r>
          </w:p>
        </w:tc>
        <w:tc>
          <w:tcPr>
            <w:tcW w:w="2600" w:type="dxa"/>
            <w:shd w:val="clear" w:color="auto" w:fill="FFFFFF"/>
            <w:tcMar>
              <w:top w:w="80" w:type="dxa"/>
              <w:left w:w="100" w:type="dxa"/>
              <w:bottom w:w="80" w:type="dxa"/>
              <w:right w:w="100" w:type="dxa"/>
            </w:tcMar>
            <w:vAlign w:val="center"/>
          </w:tcPr>
          <w:p w14:paraId="18F09806" w14:textId="77777777" w:rsidR="00FC39D9" w:rsidRDefault="00000000">
            <w:r>
              <w:rPr>
                <w:sz w:val="19"/>
                <w:szCs w:val="19"/>
              </w:rPr>
              <w:t>Consent facilitation; visit scheduling; data entry; IP accountability support</w:t>
            </w:r>
          </w:p>
        </w:tc>
        <w:tc>
          <w:tcPr>
            <w:tcW w:w="1400" w:type="dxa"/>
            <w:shd w:val="clear" w:color="auto" w:fill="FFFFFF"/>
            <w:tcMar>
              <w:top w:w="80" w:type="dxa"/>
              <w:left w:w="100" w:type="dxa"/>
              <w:bottom w:w="80" w:type="dxa"/>
              <w:right w:w="100" w:type="dxa"/>
            </w:tcMar>
            <w:vAlign w:val="center"/>
          </w:tcPr>
          <w:p w14:paraId="6104D8C6" w14:textId="77777777" w:rsidR="00FC39D9" w:rsidRDefault="00FC39D9"/>
        </w:tc>
        <w:tc>
          <w:tcPr>
            <w:tcW w:w="2300" w:type="dxa"/>
            <w:shd w:val="clear" w:color="auto" w:fill="FFFFFF"/>
            <w:tcMar>
              <w:top w:w="80" w:type="dxa"/>
              <w:left w:w="100" w:type="dxa"/>
              <w:bottom w:w="80" w:type="dxa"/>
              <w:right w:w="100" w:type="dxa"/>
            </w:tcMar>
            <w:vAlign w:val="center"/>
          </w:tcPr>
          <w:p w14:paraId="11FCFF6C" w14:textId="77777777" w:rsidR="00FC39D9" w:rsidRDefault="00FC39D9"/>
        </w:tc>
      </w:tr>
      <w:tr w:rsidR="00FC39D9" w14:paraId="48D9A5E0"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65DA5724" w14:textId="77777777" w:rsidR="00FC39D9" w:rsidRDefault="00FC39D9"/>
        </w:tc>
        <w:tc>
          <w:tcPr>
            <w:tcW w:w="1500" w:type="dxa"/>
            <w:shd w:val="clear" w:color="auto" w:fill="F2F2F2"/>
            <w:tcMar>
              <w:top w:w="80" w:type="dxa"/>
              <w:left w:w="100" w:type="dxa"/>
              <w:bottom w:w="80" w:type="dxa"/>
              <w:right w:w="100" w:type="dxa"/>
            </w:tcMar>
            <w:vAlign w:val="center"/>
          </w:tcPr>
          <w:p w14:paraId="044DFCEA" w14:textId="77777777" w:rsidR="00FC39D9" w:rsidRDefault="00000000">
            <w:r>
              <w:rPr>
                <w:sz w:val="19"/>
                <w:szCs w:val="19"/>
              </w:rPr>
              <w:t>Pharmacist/Designee</w:t>
            </w:r>
          </w:p>
        </w:tc>
        <w:tc>
          <w:tcPr>
            <w:tcW w:w="2600" w:type="dxa"/>
            <w:shd w:val="clear" w:color="auto" w:fill="F2F2F2"/>
            <w:tcMar>
              <w:top w:w="80" w:type="dxa"/>
              <w:left w:w="100" w:type="dxa"/>
              <w:bottom w:w="80" w:type="dxa"/>
              <w:right w:w="100" w:type="dxa"/>
            </w:tcMar>
            <w:vAlign w:val="center"/>
          </w:tcPr>
          <w:p w14:paraId="3EEC41A6" w14:textId="77777777" w:rsidR="00FC39D9" w:rsidRDefault="00000000">
            <w:r>
              <w:rPr>
                <w:sz w:val="19"/>
                <w:szCs w:val="19"/>
              </w:rPr>
              <w:t>IP storage, dispensing, accountability</w:t>
            </w:r>
          </w:p>
        </w:tc>
        <w:tc>
          <w:tcPr>
            <w:tcW w:w="1400" w:type="dxa"/>
            <w:shd w:val="clear" w:color="auto" w:fill="F2F2F2"/>
            <w:tcMar>
              <w:top w:w="80" w:type="dxa"/>
              <w:left w:w="100" w:type="dxa"/>
              <w:bottom w:w="80" w:type="dxa"/>
              <w:right w:w="100" w:type="dxa"/>
            </w:tcMar>
            <w:vAlign w:val="center"/>
          </w:tcPr>
          <w:p w14:paraId="089F5054" w14:textId="77777777" w:rsidR="00FC39D9" w:rsidRDefault="00FC39D9"/>
        </w:tc>
        <w:tc>
          <w:tcPr>
            <w:tcW w:w="2300" w:type="dxa"/>
            <w:shd w:val="clear" w:color="auto" w:fill="F2F2F2"/>
            <w:tcMar>
              <w:top w:w="80" w:type="dxa"/>
              <w:left w:w="100" w:type="dxa"/>
              <w:bottom w:w="80" w:type="dxa"/>
              <w:right w:w="100" w:type="dxa"/>
            </w:tcMar>
            <w:vAlign w:val="center"/>
          </w:tcPr>
          <w:p w14:paraId="62D963E1" w14:textId="77777777" w:rsidR="00FC39D9" w:rsidRDefault="00FC39D9"/>
        </w:tc>
      </w:tr>
      <w:tr w:rsidR="00FC39D9" w14:paraId="699F1B2A"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60BD54DF" w14:textId="77777777" w:rsidR="00FC39D9" w:rsidRDefault="00FC39D9"/>
        </w:tc>
        <w:tc>
          <w:tcPr>
            <w:tcW w:w="1500" w:type="dxa"/>
            <w:shd w:val="clear" w:color="auto" w:fill="FFFFFF"/>
            <w:tcMar>
              <w:top w:w="80" w:type="dxa"/>
              <w:left w:w="100" w:type="dxa"/>
              <w:bottom w:w="80" w:type="dxa"/>
              <w:right w:w="100" w:type="dxa"/>
            </w:tcMar>
            <w:vAlign w:val="center"/>
          </w:tcPr>
          <w:p w14:paraId="5A6DC853" w14:textId="77777777" w:rsidR="00FC39D9" w:rsidRDefault="00000000">
            <w:r>
              <w:rPr>
                <w:sz w:val="19"/>
                <w:szCs w:val="19"/>
              </w:rPr>
              <w:t>Rater</w:t>
            </w:r>
          </w:p>
        </w:tc>
        <w:tc>
          <w:tcPr>
            <w:tcW w:w="2600" w:type="dxa"/>
            <w:shd w:val="clear" w:color="auto" w:fill="FFFFFF"/>
            <w:tcMar>
              <w:top w:w="80" w:type="dxa"/>
              <w:left w:w="100" w:type="dxa"/>
              <w:bottom w:w="80" w:type="dxa"/>
              <w:right w:w="100" w:type="dxa"/>
            </w:tcMar>
            <w:vAlign w:val="center"/>
          </w:tcPr>
          <w:p w14:paraId="40AB05C6" w14:textId="77777777" w:rsidR="00FC39D9" w:rsidRDefault="00000000">
            <w:r>
              <w:rPr>
                <w:sz w:val="19"/>
                <w:szCs w:val="19"/>
              </w:rPr>
              <w:t>6MWT and WHO FC assessments</w:t>
            </w:r>
          </w:p>
        </w:tc>
        <w:tc>
          <w:tcPr>
            <w:tcW w:w="1400" w:type="dxa"/>
            <w:shd w:val="clear" w:color="auto" w:fill="FFFFFF"/>
            <w:tcMar>
              <w:top w:w="80" w:type="dxa"/>
              <w:left w:w="100" w:type="dxa"/>
              <w:bottom w:w="80" w:type="dxa"/>
              <w:right w:w="100" w:type="dxa"/>
            </w:tcMar>
            <w:vAlign w:val="center"/>
          </w:tcPr>
          <w:p w14:paraId="7C094CCD" w14:textId="77777777" w:rsidR="00FC39D9" w:rsidRDefault="00FC39D9"/>
        </w:tc>
        <w:tc>
          <w:tcPr>
            <w:tcW w:w="2300" w:type="dxa"/>
            <w:shd w:val="clear" w:color="auto" w:fill="FFFFFF"/>
            <w:tcMar>
              <w:top w:w="80" w:type="dxa"/>
              <w:left w:w="100" w:type="dxa"/>
              <w:bottom w:w="80" w:type="dxa"/>
              <w:right w:w="100" w:type="dxa"/>
            </w:tcMar>
            <w:vAlign w:val="center"/>
          </w:tcPr>
          <w:p w14:paraId="0BD44671" w14:textId="77777777" w:rsidR="00FC39D9" w:rsidRDefault="00FC39D9"/>
        </w:tc>
      </w:tr>
      <w:tr w:rsidR="00FC39D9" w14:paraId="2971CB3C" w14:textId="77777777">
        <w:tblPrEx>
          <w:tblCellMar>
            <w:top w:w="0" w:type="dxa"/>
            <w:bottom w:w="0" w:type="dxa"/>
          </w:tblCellMar>
        </w:tblPrEx>
        <w:tc>
          <w:tcPr>
            <w:tcW w:w="1700" w:type="dxa"/>
            <w:shd w:val="clear" w:color="auto" w:fill="F2F2F2"/>
            <w:tcMar>
              <w:top w:w="80" w:type="dxa"/>
              <w:left w:w="100" w:type="dxa"/>
              <w:bottom w:w="80" w:type="dxa"/>
              <w:right w:w="100" w:type="dxa"/>
            </w:tcMar>
            <w:vAlign w:val="center"/>
          </w:tcPr>
          <w:p w14:paraId="17E20A5A" w14:textId="77777777" w:rsidR="00FC39D9" w:rsidRDefault="00FC39D9"/>
        </w:tc>
        <w:tc>
          <w:tcPr>
            <w:tcW w:w="1500" w:type="dxa"/>
            <w:shd w:val="clear" w:color="auto" w:fill="F2F2F2"/>
            <w:tcMar>
              <w:top w:w="80" w:type="dxa"/>
              <w:left w:w="100" w:type="dxa"/>
              <w:bottom w:w="80" w:type="dxa"/>
              <w:right w:w="100" w:type="dxa"/>
            </w:tcMar>
            <w:vAlign w:val="center"/>
          </w:tcPr>
          <w:p w14:paraId="55B3EE58" w14:textId="77777777" w:rsidR="00FC39D9" w:rsidRDefault="00000000">
            <w:r>
              <w:rPr>
                <w:sz w:val="19"/>
                <w:szCs w:val="19"/>
              </w:rPr>
              <w:t>Lab Technician</w:t>
            </w:r>
          </w:p>
        </w:tc>
        <w:tc>
          <w:tcPr>
            <w:tcW w:w="2600" w:type="dxa"/>
            <w:shd w:val="clear" w:color="auto" w:fill="F2F2F2"/>
            <w:tcMar>
              <w:top w:w="80" w:type="dxa"/>
              <w:left w:w="100" w:type="dxa"/>
              <w:bottom w:w="80" w:type="dxa"/>
              <w:right w:w="100" w:type="dxa"/>
            </w:tcMar>
            <w:vAlign w:val="center"/>
          </w:tcPr>
          <w:p w14:paraId="72CB8307" w14:textId="77777777" w:rsidR="00FC39D9" w:rsidRDefault="00000000">
            <w:r>
              <w:rPr>
                <w:sz w:val="19"/>
                <w:szCs w:val="19"/>
              </w:rPr>
              <w:t>Sample processing and shipment</w:t>
            </w:r>
          </w:p>
        </w:tc>
        <w:tc>
          <w:tcPr>
            <w:tcW w:w="1400" w:type="dxa"/>
            <w:shd w:val="clear" w:color="auto" w:fill="F2F2F2"/>
            <w:tcMar>
              <w:top w:w="80" w:type="dxa"/>
              <w:left w:w="100" w:type="dxa"/>
              <w:bottom w:w="80" w:type="dxa"/>
              <w:right w:w="100" w:type="dxa"/>
            </w:tcMar>
            <w:vAlign w:val="center"/>
          </w:tcPr>
          <w:p w14:paraId="046E9450" w14:textId="77777777" w:rsidR="00FC39D9" w:rsidRDefault="00FC39D9"/>
        </w:tc>
        <w:tc>
          <w:tcPr>
            <w:tcW w:w="2300" w:type="dxa"/>
            <w:shd w:val="clear" w:color="auto" w:fill="F2F2F2"/>
            <w:tcMar>
              <w:top w:w="80" w:type="dxa"/>
              <w:left w:w="100" w:type="dxa"/>
              <w:bottom w:w="80" w:type="dxa"/>
              <w:right w:w="100" w:type="dxa"/>
            </w:tcMar>
            <w:vAlign w:val="center"/>
          </w:tcPr>
          <w:p w14:paraId="213C82C7" w14:textId="77777777" w:rsidR="00FC39D9" w:rsidRDefault="00FC39D9"/>
        </w:tc>
      </w:tr>
    </w:tbl>
    <w:p w14:paraId="0D8E8674" w14:textId="77777777" w:rsidR="00FC39D9" w:rsidRDefault="00000000">
      <w:pPr>
        <w:pStyle w:val="Heading2"/>
      </w:pPr>
      <w:r>
        <w:t>C. Visit Checklist (Example — Week 26 Visit)</w:t>
      </w:r>
    </w:p>
    <w:tbl>
      <w:tblPr>
        <w:tblW w:w="9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4600"/>
        <w:gridCol w:w="1500"/>
        <w:gridCol w:w="2900"/>
      </w:tblGrid>
      <w:tr w:rsidR="00FC39D9" w14:paraId="66832711" w14:textId="77777777">
        <w:tblPrEx>
          <w:tblCellMar>
            <w:top w:w="0" w:type="dxa"/>
            <w:bottom w:w="0" w:type="dxa"/>
          </w:tblCellMar>
        </w:tblPrEx>
        <w:trPr>
          <w:tblHeader/>
        </w:trPr>
        <w:tc>
          <w:tcPr>
            <w:tcW w:w="4600" w:type="dxa"/>
            <w:shd w:val="clear" w:color="auto" w:fill="44546A"/>
            <w:tcMar>
              <w:top w:w="80" w:type="dxa"/>
              <w:left w:w="100" w:type="dxa"/>
              <w:bottom w:w="80" w:type="dxa"/>
              <w:right w:w="100" w:type="dxa"/>
            </w:tcMar>
            <w:vAlign w:val="center"/>
          </w:tcPr>
          <w:p w14:paraId="2FC8D8D3" w14:textId="77777777" w:rsidR="00FC39D9" w:rsidRDefault="00000000">
            <w:r>
              <w:rPr>
                <w:b/>
                <w:bCs/>
                <w:color w:val="FFFFFF"/>
                <w:sz w:val="19"/>
                <w:szCs w:val="19"/>
              </w:rPr>
              <w:t>Task</w:t>
            </w:r>
          </w:p>
        </w:tc>
        <w:tc>
          <w:tcPr>
            <w:tcW w:w="1500" w:type="dxa"/>
            <w:shd w:val="clear" w:color="auto" w:fill="44546A"/>
            <w:tcMar>
              <w:top w:w="80" w:type="dxa"/>
              <w:left w:w="100" w:type="dxa"/>
              <w:bottom w:w="80" w:type="dxa"/>
              <w:right w:w="100" w:type="dxa"/>
            </w:tcMar>
            <w:vAlign w:val="center"/>
          </w:tcPr>
          <w:p w14:paraId="4732D179" w14:textId="77777777" w:rsidR="00FC39D9" w:rsidRDefault="00000000">
            <w:r>
              <w:rPr>
                <w:b/>
                <w:bCs/>
                <w:color w:val="FFFFFF"/>
                <w:sz w:val="19"/>
                <w:szCs w:val="19"/>
              </w:rPr>
              <w:t>Completed (Y/N)</w:t>
            </w:r>
          </w:p>
        </w:tc>
        <w:tc>
          <w:tcPr>
            <w:tcW w:w="2900" w:type="dxa"/>
            <w:shd w:val="clear" w:color="auto" w:fill="44546A"/>
            <w:tcMar>
              <w:top w:w="80" w:type="dxa"/>
              <w:left w:w="100" w:type="dxa"/>
              <w:bottom w:w="80" w:type="dxa"/>
              <w:right w:w="100" w:type="dxa"/>
            </w:tcMar>
            <w:vAlign w:val="center"/>
          </w:tcPr>
          <w:p w14:paraId="039AD8FD" w14:textId="77777777" w:rsidR="00FC39D9" w:rsidRDefault="00000000">
            <w:r>
              <w:rPr>
                <w:b/>
                <w:bCs/>
                <w:color w:val="FFFFFF"/>
                <w:sz w:val="19"/>
                <w:szCs w:val="19"/>
              </w:rPr>
              <w:t>Notes</w:t>
            </w:r>
          </w:p>
        </w:tc>
      </w:tr>
      <w:tr w:rsidR="00FC39D9" w14:paraId="511A249B"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07EAA1D" w14:textId="77777777" w:rsidR="00FC39D9" w:rsidRDefault="00000000">
            <w:r>
              <w:rPr>
                <w:sz w:val="19"/>
                <w:szCs w:val="19"/>
              </w:rPr>
              <w:t>Confirm visit falls within ±14-day window</w:t>
            </w:r>
          </w:p>
        </w:tc>
        <w:tc>
          <w:tcPr>
            <w:tcW w:w="1500" w:type="dxa"/>
            <w:shd w:val="clear" w:color="auto" w:fill="FFFFFF"/>
            <w:tcMar>
              <w:top w:w="80" w:type="dxa"/>
              <w:left w:w="100" w:type="dxa"/>
              <w:bottom w:w="80" w:type="dxa"/>
              <w:right w:w="100" w:type="dxa"/>
            </w:tcMar>
            <w:vAlign w:val="center"/>
          </w:tcPr>
          <w:p w14:paraId="26510CCD" w14:textId="77777777" w:rsidR="00FC39D9" w:rsidRDefault="00FC39D9"/>
        </w:tc>
        <w:tc>
          <w:tcPr>
            <w:tcW w:w="2900" w:type="dxa"/>
            <w:shd w:val="clear" w:color="auto" w:fill="FFFFFF"/>
            <w:tcMar>
              <w:top w:w="80" w:type="dxa"/>
              <w:left w:w="100" w:type="dxa"/>
              <w:bottom w:w="80" w:type="dxa"/>
              <w:right w:w="100" w:type="dxa"/>
            </w:tcMar>
            <w:vAlign w:val="center"/>
          </w:tcPr>
          <w:p w14:paraId="0E64EE64" w14:textId="77777777" w:rsidR="00FC39D9" w:rsidRDefault="00FC39D9"/>
        </w:tc>
      </w:tr>
      <w:tr w:rsidR="00FC39D9" w14:paraId="629877D8"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72FB2393" w14:textId="77777777" w:rsidR="00FC39D9" w:rsidRDefault="00000000">
            <w:r>
              <w:rPr>
                <w:sz w:val="19"/>
                <w:szCs w:val="19"/>
              </w:rPr>
              <w:t>Vitals, physical exam, weight recorded</w:t>
            </w:r>
          </w:p>
        </w:tc>
        <w:tc>
          <w:tcPr>
            <w:tcW w:w="1500" w:type="dxa"/>
            <w:shd w:val="clear" w:color="auto" w:fill="F2F2F2"/>
            <w:tcMar>
              <w:top w:w="80" w:type="dxa"/>
              <w:left w:w="100" w:type="dxa"/>
              <w:bottom w:w="80" w:type="dxa"/>
              <w:right w:w="100" w:type="dxa"/>
            </w:tcMar>
            <w:vAlign w:val="center"/>
          </w:tcPr>
          <w:p w14:paraId="2790B35E" w14:textId="77777777" w:rsidR="00FC39D9" w:rsidRDefault="00FC39D9"/>
        </w:tc>
        <w:tc>
          <w:tcPr>
            <w:tcW w:w="2900" w:type="dxa"/>
            <w:shd w:val="clear" w:color="auto" w:fill="F2F2F2"/>
            <w:tcMar>
              <w:top w:w="80" w:type="dxa"/>
              <w:left w:w="100" w:type="dxa"/>
              <w:bottom w:w="80" w:type="dxa"/>
              <w:right w:w="100" w:type="dxa"/>
            </w:tcMar>
            <w:vAlign w:val="center"/>
          </w:tcPr>
          <w:p w14:paraId="753DE574" w14:textId="77777777" w:rsidR="00FC39D9" w:rsidRDefault="00FC39D9"/>
        </w:tc>
      </w:tr>
      <w:tr w:rsidR="00FC39D9" w14:paraId="58984132"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0E3A781B" w14:textId="77777777" w:rsidR="00FC39D9" w:rsidRDefault="00000000">
            <w:r>
              <w:rPr>
                <w:sz w:val="19"/>
                <w:szCs w:val="19"/>
              </w:rPr>
              <w:t>WHO Functional Class assessed</w:t>
            </w:r>
          </w:p>
        </w:tc>
        <w:tc>
          <w:tcPr>
            <w:tcW w:w="1500" w:type="dxa"/>
            <w:shd w:val="clear" w:color="auto" w:fill="FFFFFF"/>
            <w:tcMar>
              <w:top w:w="80" w:type="dxa"/>
              <w:left w:w="100" w:type="dxa"/>
              <w:bottom w:w="80" w:type="dxa"/>
              <w:right w:w="100" w:type="dxa"/>
            </w:tcMar>
            <w:vAlign w:val="center"/>
          </w:tcPr>
          <w:p w14:paraId="741E6717" w14:textId="77777777" w:rsidR="00FC39D9" w:rsidRDefault="00FC39D9"/>
        </w:tc>
        <w:tc>
          <w:tcPr>
            <w:tcW w:w="2900" w:type="dxa"/>
            <w:shd w:val="clear" w:color="auto" w:fill="FFFFFF"/>
            <w:tcMar>
              <w:top w:w="80" w:type="dxa"/>
              <w:left w:w="100" w:type="dxa"/>
              <w:bottom w:w="80" w:type="dxa"/>
              <w:right w:w="100" w:type="dxa"/>
            </w:tcMar>
            <w:vAlign w:val="center"/>
          </w:tcPr>
          <w:p w14:paraId="4D65E1E7" w14:textId="77777777" w:rsidR="00FC39D9" w:rsidRDefault="00FC39D9"/>
        </w:tc>
      </w:tr>
      <w:tr w:rsidR="00FC39D9" w14:paraId="275D167C"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6409F2AE" w14:textId="77777777" w:rsidR="00FC39D9" w:rsidRDefault="00000000">
            <w:r>
              <w:rPr>
                <w:sz w:val="19"/>
                <w:szCs w:val="19"/>
              </w:rPr>
              <w:t xml:space="preserve">6MWT and Borg </w:t>
            </w:r>
            <w:proofErr w:type="spellStart"/>
            <w:r>
              <w:rPr>
                <w:sz w:val="19"/>
                <w:szCs w:val="19"/>
              </w:rPr>
              <w:t>Dyspnea</w:t>
            </w:r>
            <w:proofErr w:type="spellEnd"/>
            <w:r>
              <w:rPr>
                <w:sz w:val="19"/>
                <w:szCs w:val="19"/>
              </w:rPr>
              <w:t xml:space="preserve"> Index performed per standardized method</w:t>
            </w:r>
          </w:p>
        </w:tc>
        <w:tc>
          <w:tcPr>
            <w:tcW w:w="1500" w:type="dxa"/>
            <w:shd w:val="clear" w:color="auto" w:fill="F2F2F2"/>
            <w:tcMar>
              <w:top w:w="80" w:type="dxa"/>
              <w:left w:w="100" w:type="dxa"/>
              <w:bottom w:w="80" w:type="dxa"/>
              <w:right w:w="100" w:type="dxa"/>
            </w:tcMar>
            <w:vAlign w:val="center"/>
          </w:tcPr>
          <w:p w14:paraId="6CAFDD0B" w14:textId="77777777" w:rsidR="00FC39D9" w:rsidRDefault="00FC39D9"/>
        </w:tc>
        <w:tc>
          <w:tcPr>
            <w:tcW w:w="2900" w:type="dxa"/>
            <w:shd w:val="clear" w:color="auto" w:fill="F2F2F2"/>
            <w:tcMar>
              <w:top w:w="80" w:type="dxa"/>
              <w:left w:w="100" w:type="dxa"/>
              <w:bottom w:w="80" w:type="dxa"/>
              <w:right w:w="100" w:type="dxa"/>
            </w:tcMar>
            <w:vAlign w:val="center"/>
          </w:tcPr>
          <w:p w14:paraId="31BFD50D" w14:textId="77777777" w:rsidR="00FC39D9" w:rsidRDefault="00FC39D9"/>
        </w:tc>
      </w:tr>
      <w:tr w:rsidR="00FC39D9" w14:paraId="4138539C"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393466D1" w14:textId="77777777" w:rsidR="00FC39D9" w:rsidRDefault="00000000">
            <w:r>
              <w:rPr>
                <w:sz w:val="19"/>
                <w:szCs w:val="19"/>
              </w:rPr>
              <w:t>RHC performed and report filed in source</w:t>
            </w:r>
          </w:p>
        </w:tc>
        <w:tc>
          <w:tcPr>
            <w:tcW w:w="1500" w:type="dxa"/>
            <w:shd w:val="clear" w:color="auto" w:fill="FFFFFF"/>
            <w:tcMar>
              <w:top w:w="80" w:type="dxa"/>
              <w:left w:w="100" w:type="dxa"/>
              <w:bottom w:w="80" w:type="dxa"/>
              <w:right w:w="100" w:type="dxa"/>
            </w:tcMar>
            <w:vAlign w:val="center"/>
          </w:tcPr>
          <w:p w14:paraId="2A593C9D" w14:textId="77777777" w:rsidR="00FC39D9" w:rsidRDefault="00FC39D9"/>
        </w:tc>
        <w:tc>
          <w:tcPr>
            <w:tcW w:w="2900" w:type="dxa"/>
            <w:shd w:val="clear" w:color="auto" w:fill="FFFFFF"/>
            <w:tcMar>
              <w:top w:w="80" w:type="dxa"/>
              <w:left w:w="100" w:type="dxa"/>
              <w:bottom w:w="80" w:type="dxa"/>
              <w:right w:w="100" w:type="dxa"/>
            </w:tcMar>
            <w:vAlign w:val="center"/>
          </w:tcPr>
          <w:p w14:paraId="3C7720F6" w14:textId="77777777" w:rsidR="00FC39D9" w:rsidRDefault="00FC39D9"/>
        </w:tc>
      </w:tr>
      <w:tr w:rsidR="00FC39D9" w14:paraId="45617241"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28EC6423" w14:textId="77777777" w:rsidR="00FC39D9" w:rsidRDefault="00000000">
            <w:r>
              <w:rPr>
                <w:sz w:val="19"/>
                <w:szCs w:val="19"/>
              </w:rPr>
              <w:t xml:space="preserve">Central labs drawn (chemistry, </w:t>
            </w:r>
            <w:proofErr w:type="spellStart"/>
            <w:r>
              <w:rPr>
                <w:sz w:val="19"/>
                <w:szCs w:val="19"/>
              </w:rPr>
              <w:t>hematology</w:t>
            </w:r>
            <w:proofErr w:type="spellEnd"/>
            <w:r>
              <w:rPr>
                <w:sz w:val="19"/>
                <w:szCs w:val="19"/>
              </w:rPr>
              <w:t>, liver/</w:t>
            </w:r>
            <w:proofErr w:type="spellStart"/>
            <w:r>
              <w:rPr>
                <w:sz w:val="19"/>
                <w:szCs w:val="19"/>
              </w:rPr>
              <w:t>hemoglobin</w:t>
            </w:r>
            <w:proofErr w:type="spellEnd"/>
            <w:r>
              <w:rPr>
                <w:sz w:val="19"/>
                <w:szCs w:val="19"/>
              </w:rPr>
              <w:t>, biomarkers)</w:t>
            </w:r>
          </w:p>
        </w:tc>
        <w:tc>
          <w:tcPr>
            <w:tcW w:w="1500" w:type="dxa"/>
            <w:shd w:val="clear" w:color="auto" w:fill="F2F2F2"/>
            <w:tcMar>
              <w:top w:w="80" w:type="dxa"/>
              <w:left w:w="100" w:type="dxa"/>
              <w:bottom w:w="80" w:type="dxa"/>
              <w:right w:w="100" w:type="dxa"/>
            </w:tcMar>
            <w:vAlign w:val="center"/>
          </w:tcPr>
          <w:p w14:paraId="0FCA4BBD" w14:textId="77777777" w:rsidR="00FC39D9" w:rsidRDefault="00FC39D9"/>
        </w:tc>
        <w:tc>
          <w:tcPr>
            <w:tcW w:w="2900" w:type="dxa"/>
            <w:shd w:val="clear" w:color="auto" w:fill="F2F2F2"/>
            <w:tcMar>
              <w:top w:w="80" w:type="dxa"/>
              <w:left w:w="100" w:type="dxa"/>
              <w:bottom w:w="80" w:type="dxa"/>
              <w:right w:w="100" w:type="dxa"/>
            </w:tcMar>
            <w:vAlign w:val="center"/>
          </w:tcPr>
          <w:p w14:paraId="5EC84DE7" w14:textId="77777777" w:rsidR="00FC39D9" w:rsidRDefault="00FC39D9"/>
        </w:tc>
      </w:tr>
      <w:tr w:rsidR="00FC39D9" w14:paraId="27103E76"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46691190" w14:textId="77777777" w:rsidR="00FC39D9" w:rsidRDefault="00000000">
            <w:r>
              <w:rPr>
                <w:sz w:val="19"/>
                <w:szCs w:val="19"/>
              </w:rPr>
              <w:t>Pregnancy test performed (WOCBP)</w:t>
            </w:r>
          </w:p>
        </w:tc>
        <w:tc>
          <w:tcPr>
            <w:tcW w:w="1500" w:type="dxa"/>
            <w:shd w:val="clear" w:color="auto" w:fill="FFFFFF"/>
            <w:tcMar>
              <w:top w:w="80" w:type="dxa"/>
              <w:left w:w="100" w:type="dxa"/>
              <w:bottom w:w="80" w:type="dxa"/>
              <w:right w:w="100" w:type="dxa"/>
            </w:tcMar>
            <w:vAlign w:val="center"/>
          </w:tcPr>
          <w:p w14:paraId="47D39502" w14:textId="77777777" w:rsidR="00FC39D9" w:rsidRDefault="00FC39D9"/>
        </w:tc>
        <w:tc>
          <w:tcPr>
            <w:tcW w:w="2900" w:type="dxa"/>
            <w:shd w:val="clear" w:color="auto" w:fill="FFFFFF"/>
            <w:tcMar>
              <w:top w:w="80" w:type="dxa"/>
              <w:left w:w="100" w:type="dxa"/>
              <w:bottom w:w="80" w:type="dxa"/>
              <w:right w:w="100" w:type="dxa"/>
            </w:tcMar>
            <w:vAlign w:val="center"/>
          </w:tcPr>
          <w:p w14:paraId="1B084372" w14:textId="77777777" w:rsidR="00FC39D9" w:rsidRDefault="00FC39D9"/>
        </w:tc>
      </w:tr>
      <w:tr w:rsidR="00FC39D9" w14:paraId="602A5263"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35390ABC" w14:textId="77777777" w:rsidR="00FC39D9" w:rsidRDefault="00000000">
            <w:r>
              <w:rPr>
                <w:sz w:val="19"/>
                <w:szCs w:val="19"/>
              </w:rPr>
              <w:t>IP dispensed and/or returned; accountability updated</w:t>
            </w:r>
          </w:p>
        </w:tc>
        <w:tc>
          <w:tcPr>
            <w:tcW w:w="1500" w:type="dxa"/>
            <w:shd w:val="clear" w:color="auto" w:fill="F2F2F2"/>
            <w:tcMar>
              <w:top w:w="80" w:type="dxa"/>
              <w:left w:w="100" w:type="dxa"/>
              <w:bottom w:w="80" w:type="dxa"/>
              <w:right w:w="100" w:type="dxa"/>
            </w:tcMar>
            <w:vAlign w:val="center"/>
          </w:tcPr>
          <w:p w14:paraId="685DAE47" w14:textId="77777777" w:rsidR="00FC39D9" w:rsidRDefault="00FC39D9"/>
        </w:tc>
        <w:tc>
          <w:tcPr>
            <w:tcW w:w="2900" w:type="dxa"/>
            <w:shd w:val="clear" w:color="auto" w:fill="F2F2F2"/>
            <w:tcMar>
              <w:top w:w="80" w:type="dxa"/>
              <w:left w:w="100" w:type="dxa"/>
              <w:bottom w:w="80" w:type="dxa"/>
              <w:right w:w="100" w:type="dxa"/>
            </w:tcMar>
            <w:vAlign w:val="center"/>
          </w:tcPr>
          <w:p w14:paraId="6CF3CDC8" w14:textId="77777777" w:rsidR="00FC39D9" w:rsidRDefault="00FC39D9"/>
        </w:tc>
      </w:tr>
      <w:tr w:rsidR="00FC39D9" w14:paraId="23B5C089"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2A78CFC" w14:textId="77777777" w:rsidR="00FC39D9" w:rsidRDefault="00000000">
            <w:r>
              <w:rPr>
                <w:sz w:val="19"/>
                <w:szCs w:val="19"/>
              </w:rPr>
              <w:t>AE/concomitant medication review completed</w:t>
            </w:r>
          </w:p>
        </w:tc>
        <w:tc>
          <w:tcPr>
            <w:tcW w:w="1500" w:type="dxa"/>
            <w:shd w:val="clear" w:color="auto" w:fill="FFFFFF"/>
            <w:tcMar>
              <w:top w:w="80" w:type="dxa"/>
              <w:left w:w="100" w:type="dxa"/>
              <w:bottom w:w="80" w:type="dxa"/>
              <w:right w:w="100" w:type="dxa"/>
            </w:tcMar>
            <w:vAlign w:val="center"/>
          </w:tcPr>
          <w:p w14:paraId="00D88468" w14:textId="77777777" w:rsidR="00FC39D9" w:rsidRDefault="00FC39D9"/>
        </w:tc>
        <w:tc>
          <w:tcPr>
            <w:tcW w:w="2900" w:type="dxa"/>
            <w:shd w:val="clear" w:color="auto" w:fill="FFFFFF"/>
            <w:tcMar>
              <w:top w:w="80" w:type="dxa"/>
              <w:left w:w="100" w:type="dxa"/>
              <w:bottom w:w="80" w:type="dxa"/>
              <w:right w:w="100" w:type="dxa"/>
            </w:tcMar>
            <w:vAlign w:val="center"/>
          </w:tcPr>
          <w:p w14:paraId="0D5C29A1" w14:textId="77777777" w:rsidR="00FC39D9" w:rsidRDefault="00FC39D9"/>
        </w:tc>
      </w:tr>
      <w:tr w:rsidR="00FC39D9" w14:paraId="7F32C0C7" w14:textId="77777777">
        <w:tblPrEx>
          <w:tblCellMar>
            <w:top w:w="0" w:type="dxa"/>
            <w:bottom w:w="0" w:type="dxa"/>
          </w:tblCellMar>
        </w:tblPrEx>
        <w:tc>
          <w:tcPr>
            <w:tcW w:w="4600" w:type="dxa"/>
            <w:shd w:val="clear" w:color="auto" w:fill="F2F2F2"/>
            <w:tcMar>
              <w:top w:w="80" w:type="dxa"/>
              <w:left w:w="100" w:type="dxa"/>
              <w:bottom w:w="80" w:type="dxa"/>
              <w:right w:w="100" w:type="dxa"/>
            </w:tcMar>
            <w:vAlign w:val="center"/>
          </w:tcPr>
          <w:p w14:paraId="0EA80BD8" w14:textId="77777777" w:rsidR="00FC39D9" w:rsidRDefault="00000000">
            <w:r>
              <w:rPr>
                <w:sz w:val="19"/>
                <w:szCs w:val="19"/>
              </w:rPr>
              <w:t>eCRF entries completed from source</w:t>
            </w:r>
          </w:p>
        </w:tc>
        <w:tc>
          <w:tcPr>
            <w:tcW w:w="1500" w:type="dxa"/>
            <w:shd w:val="clear" w:color="auto" w:fill="F2F2F2"/>
            <w:tcMar>
              <w:top w:w="80" w:type="dxa"/>
              <w:left w:w="100" w:type="dxa"/>
              <w:bottom w:w="80" w:type="dxa"/>
              <w:right w:w="100" w:type="dxa"/>
            </w:tcMar>
            <w:vAlign w:val="center"/>
          </w:tcPr>
          <w:p w14:paraId="5FDB24E9" w14:textId="77777777" w:rsidR="00FC39D9" w:rsidRDefault="00FC39D9"/>
        </w:tc>
        <w:tc>
          <w:tcPr>
            <w:tcW w:w="2900" w:type="dxa"/>
            <w:shd w:val="clear" w:color="auto" w:fill="F2F2F2"/>
            <w:tcMar>
              <w:top w:w="80" w:type="dxa"/>
              <w:left w:w="100" w:type="dxa"/>
              <w:bottom w:w="80" w:type="dxa"/>
              <w:right w:w="100" w:type="dxa"/>
            </w:tcMar>
            <w:vAlign w:val="center"/>
          </w:tcPr>
          <w:p w14:paraId="7523F31E" w14:textId="77777777" w:rsidR="00FC39D9" w:rsidRDefault="00FC39D9"/>
        </w:tc>
      </w:tr>
    </w:tbl>
    <w:p w14:paraId="591A8E4C" w14:textId="77777777" w:rsidR="00FC39D9" w:rsidRDefault="00000000">
      <w:pPr>
        <w:pStyle w:val="Heading2"/>
      </w:pPr>
      <w:r>
        <w:t>D. Risk Register Template</w:t>
      </w:r>
    </w:p>
    <w:tbl>
      <w:tblPr>
        <w:tblW w:w="85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1867"/>
        <w:gridCol w:w="1678"/>
        <w:gridCol w:w="1102"/>
        <w:gridCol w:w="998"/>
        <w:gridCol w:w="2855"/>
      </w:tblGrid>
      <w:tr w:rsidR="00FC39D9" w14:paraId="28E26150" w14:textId="77777777">
        <w:tblPrEx>
          <w:tblCellMar>
            <w:top w:w="0" w:type="dxa"/>
            <w:bottom w:w="0" w:type="dxa"/>
          </w:tblCellMar>
        </w:tblPrEx>
        <w:trPr>
          <w:tblHeader/>
        </w:trPr>
        <w:tc>
          <w:tcPr>
            <w:tcW w:w="1900" w:type="dxa"/>
            <w:shd w:val="clear" w:color="auto" w:fill="44546A"/>
            <w:tcMar>
              <w:top w:w="80" w:type="dxa"/>
              <w:left w:w="100" w:type="dxa"/>
              <w:bottom w:w="80" w:type="dxa"/>
              <w:right w:w="100" w:type="dxa"/>
            </w:tcMar>
            <w:vAlign w:val="center"/>
          </w:tcPr>
          <w:p w14:paraId="6AD1EB20" w14:textId="77777777" w:rsidR="00FC39D9" w:rsidRDefault="00000000">
            <w:r>
              <w:rPr>
                <w:b/>
                <w:bCs/>
                <w:color w:val="FFFFFF"/>
                <w:sz w:val="19"/>
                <w:szCs w:val="19"/>
              </w:rPr>
              <w:t>Risk</w:t>
            </w:r>
          </w:p>
        </w:tc>
        <w:tc>
          <w:tcPr>
            <w:tcW w:w="1700" w:type="dxa"/>
            <w:shd w:val="clear" w:color="auto" w:fill="44546A"/>
            <w:tcMar>
              <w:top w:w="80" w:type="dxa"/>
              <w:left w:w="100" w:type="dxa"/>
              <w:bottom w:w="80" w:type="dxa"/>
              <w:right w:w="100" w:type="dxa"/>
            </w:tcMar>
            <w:vAlign w:val="center"/>
          </w:tcPr>
          <w:p w14:paraId="12360B96" w14:textId="77777777" w:rsidR="00FC39D9" w:rsidRDefault="00000000">
            <w:r>
              <w:rPr>
                <w:b/>
                <w:bCs/>
                <w:color w:val="FFFFFF"/>
                <w:sz w:val="19"/>
                <w:szCs w:val="19"/>
              </w:rPr>
              <w:t>Impact</w:t>
            </w:r>
          </w:p>
        </w:tc>
        <w:tc>
          <w:tcPr>
            <w:tcW w:w="1000" w:type="dxa"/>
            <w:shd w:val="clear" w:color="auto" w:fill="44546A"/>
            <w:tcMar>
              <w:top w:w="80" w:type="dxa"/>
              <w:left w:w="100" w:type="dxa"/>
              <w:bottom w:w="80" w:type="dxa"/>
              <w:right w:w="100" w:type="dxa"/>
            </w:tcMar>
            <w:vAlign w:val="center"/>
          </w:tcPr>
          <w:p w14:paraId="3E672EC4" w14:textId="77777777" w:rsidR="00FC39D9" w:rsidRDefault="00000000">
            <w:r>
              <w:rPr>
                <w:b/>
                <w:bCs/>
                <w:color w:val="FFFFFF"/>
                <w:sz w:val="19"/>
                <w:szCs w:val="19"/>
              </w:rPr>
              <w:t>Likelihood</w:t>
            </w:r>
          </w:p>
        </w:tc>
        <w:tc>
          <w:tcPr>
            <w:tcW w:w="1000" w:type="dxa"/>
            <w:shd w:val="clear" w:color="auto" w:fill="44546A"/>
            <w:tcMar>
              <w:top w:w="80" w:type="dxa"/>
              <w:left w:w="100" w:type="dxa"/>
              <w:bottom w:w="80" w:type="dxa"/>
              <w:right w:w="100" w:type="dxa"/>
            </w:tcMar>
            <w:vAlign w:val="center"/>
          </w:tcPr>
          <w:p w14:paraId="1779F4AA" w14:textId="77777777" w:rsidR="00FC39D9" w:rsidRDefault="00000000">
            <w:r>
              <w:rPr>
                <w:b/>
                <w:bCs/>
                <w:color w:val="FFFFFF"/>
                <w:sz w:val="19"/>
                <w:szCs w:val="19"/>
              </w:rPr>
              <w:t>Severity</w:t>
            </w:r>
          </w:p>
        </w:tc>
        <w:tc>
          <w:tcPr>
            <w:tcW w:w="2900" w:type="dxa"/>
            <w:shd w:val="clear" w:color="auto" w:fill="44546A"/>
            <w:tcMar>
              <w:top w:w="80" w:type="dxa"/>
              <w:left w:w="100" w:type="dxa"/>
              <w:bottom w:w="80" w:type="dxa"/>
              <w:right w:w="100" w:type="dxa"/>
            </w:tcMar>
            <w:vAlign w:val="center"/>
          </w:tcPr>
          <w:p w14:paraId="3CABE0F8" w14:textId="77777777" w:rsidR="00FC39D9" w:rsidRDefault="00000000">
            <w:r>
              <w:rPr>
                <w:b/>
                <w:bCs/>
                <w:color w:val="FFFFFF"/>
                <w:sz w:val="19"/>
                <w:szCs w:val="19"/>
              </w:rPr>
              <w:t>Mitigation / Owner</w:t>
            </w:r>
          </w:p>
        </w:tc>
      </w:tr>
      <w:tr w:rsidR="00FC39D9" w14:paraId="2675B52E"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FBBFE07" w14:textId="77777777" w:rsidR="00FC39D9" w:rsidRDefault="00FC39D9"/>
        </w:tc>
        <w:tc>
          <w:tcPr>
            <w:tcW w:w="1700" w:type="dxa"/>
            <w:shd w:val="clear" w:color="auto" w:fill="FFFFFF"/>
            <w:tcMar>
              <w:top w:w="80" w:type="dxa"/>
              <w:left w:w="100" w:type="dxa"/>
              <w:bottom w:w="80" w:type="dxa"/>
              <w:right w:w="100" w:type="dxa"/>
            </w:tcMar>
            <w:vAlign w:val="center"/>
          </w:tcPr>
          <w:p w14:paraId="3A0CFC5B" w14:textId="77777777" w:rsidR="00FC39D9" w:rsidRDefault="00FC39D9"/>
        </w:tc>
        <w:tc>
          <w:tcPr>
            <w:tcW w:w="1000" w:type="dxa"/>
            <w:shd w:val="clear" w:color="auto" w:fill="FFFFFF"/>
            <w:tcMar>
              <w:top w:w="80" w:type="dxa"/>
              <w:left w:w="100" w:type="dxa"/>
              <w:bottom w:w="80" w:type="dxa"/>
              <w:right w:w="100" w:type="dxa"/>
            </w:tcMar>
            <w:vAlign w:val="center"/>
          </w:tcPr>
          <w:p w14:paraId="1F39F02C" w14:textId="77777777" w:rsidR="00FC39D9" w:rsidRDefault="00FC39D9"/>
        </w:tc>
        <w:tc>
          <w:tcPr>
            <w:tcW w:w="1000" w:type="dxa"/>
            <w:shd w:val="clear" w:color="auto" w:fill="FFFFFF"/>
            <w:tcMar>
              <w:top w:w="80" w:type="dxa"/>
              <w:left w:w="100" w:type="dxa"/>
              <w:bottom w:w="80" w:type="dxa"/>
              <w:right w:w="100" w:type="dxa"/>
            </w:tcMar>
            <w:vAlign w:val="center"/>
          </w:tcPr>
          <w:p w14:paraId="0CBF9BE8" w14:textId="77777777" w:rsidR="00FC39D9" w:rsidRDefault="00FC39D9"/>
        </w:tc>
        <w:tc>
          <w:tcPr>
            <w:tcW w:w="2900" w:type="dxa"/>
            <w:shd w:val="clear" w:color="auto" w:fill="FFFFFF"/>
            <w:tcMar>
              <w:top w:w="80" w:type="dxa"/>
              <w:left w:w="100" w:type="dxa"/>
              <w:bottom w:w="80" w:type="dxa"/>
              <w:right w:w="100" w:type="dxa"/>
            </w:tcMar>
            <w:vAlign w:val="center"/>
          </w:tcPr>
          <w:p w14:paraId="2DCCD78B" w14:textId="77777777" w:rsidR="00FC39D9" w:rsidRDefault="00FC39D9"/>
        </w:tc>
      </w:tr>
      <w:tr w:rsidR="00FC39D9" w14:paraId="713C206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0CB47CB5" w14:textId="77777777" w:rsidR="00FC39D9" w:rsidRDefault="00FC39D9"/>
        </w:tc>
        <w:tc>
          <w:tcPr>
            <w:tcW w:w="1700" w:type="dxa"/>
            <w:shd w:val="clear" w:color="auto" w:fill="F2F2F2"/>
            <w:tcMar>
              <w:top w:w="80" w:type="dxa"/>
              <w:left w:w="100" w:type="dxa"/>
              <w:bottom w:w="80" w:type="dxa"/>
              <w:right w:w="100" w:type="dxa"/>
            </w:tcMar>
            <w:vAlign w:val="center"/>
          </w:tcPr>
          <w:p w14:paraId="0320DAD0" w14:textId="77777777" w:rsidR="00FC39D9" w:rsidRDefault="00FC39D9"/>
        </w:tc>
        <w:tc>
          <w:tcPr>
            <w:tcW w:w="1000" w:type="dxa"/>
            <w:shd w:val="clear" w:color="auto" w:fill="F2F2F2"/>
            <w:tcMar>
              <w:top w:w="80" w:type="dxa"/>
              <w:left w:w="100" w:type="dxa"/>
              <w:bottom w:w="80" w:type="dxa"/>
              <w:right w:w="100" w:type="dxa"/>
            </w:tcMar>
            <w:vAlign w:val="center"/>
          </w:tcPr>
          <w:p w14:paraId="1E7713BD" w14:textId="77777777" w:rsidR="00FC39D9" w:rsidRDefault="00FC39D9"/>
        </w:tc>
        <w:tc>
          <w:tcPr>
            <w:tcW w:w="1000" w:type="dxa"/>
            <w:shd w:val="clear" w:color="auto" w:fill="F2F2F2"/>
            <w:tcMar>
              <w:top w:w="80" w:type="dxa"/>
              <w:left w:w="100" w:type="dxa"/>
              <w:bottom w:w="80" w:type="dxa"/>
              <w:right w:w="100" w:type="dxa"/>
            </w:tcMar>
            <w:vAlign w:val="center"/>
          </w:tcPr>
          <w:p w14:paraId="593CF9A6" w14:textId="77777777" w:rsidR="00FC39D9" w:rsidRDefault="00FC39D9"/>
        </w:tc>
        <w:tc>
          <w:tcPr>
            <w:tcW w:w="2900" w:type="dxa"/>
            <w:shd w:val="clear" w:color="auto" w:fill="F2F2F2"/>
            <w:tcMar>
              <w:top w:w="80" w:type="dxa"/>
              <w:left w:w="100" w:type="dxa"/>
              <w:bottom w:w="80" w:type="dxa"/>
              <w:right w:w="100" w:type="dxa"/>
            </w:tcMar>
            <w:vAlign w:val="center"/>
          </w:tcPr>
          <w:p w14:paraId="13424ACC" w14:textId="77777777" w:rsidR="00FC39D9" w:rsidRDefault="00FC39D9"/>
        </w:tc>
      </w:tr>
      <w:tr w:rsidR="00FC39D9" w14:paraId="194745C1"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AB38395" w14:textId="77777777" w:rsidR="00FC39D9" w:rsidRDefault="00FC39D9"/>
        </w:tc>
        <w:tc>
          <w:tcPr>
            <w:tcW w:w="1700" w:type="dxa"/>
            <w:shd w:val="clear" w:color="auto" w:fill="FFFFFF"/>
            <w:tcMar>
              <w:top w:w="80" w:type="dxa"/>
              <w:left w:w="100" w:type="dxa"/>
              <w:bottom w:w="80" w:type="dxa"/>
              <w:right w:w="100" w:type="dxa"/>
            </w:tcMar>
            <w:vAlign w:val="center"/>
          </w:tcPr>
          <w:p w14:paraId="43CBAA4B" w14:textId="77777777" w:rsidR="00FC39D9" w:rsidRDefault="00FC39D9"/>
        </w:tc>
        <w:tc>
          <w:tcPr>
            <w:tcW w:w="1000" w:type="dxa"/>
            <w:shd w:val="clear" w:color="auto" w:fill="FFFFFF"/>
            <w:tcMar>
              <w:top w:w="80" w:type="dxa"/>
              <w:left w:w="100" w:type="dxa"/>
              <w:bottom w:w="80" w:type="dxa"/>
              <w:right w:w="100" w:type="dxa"/>
            </w:tcMar>
            <w:vAlign w:val="center"/>
          </w:tcPr>
          <w:p w14:paraId="7750DDCD" w14:textId="77777777" w:rsidR="00FC39D9" w:rsidRDefault="00FC39D9"/>
        </w:tc>
        <w:tc>
          <w:tcPr>
            <w:tcW w:w="1000" w:type="dxa"/>
            <w:shd w:val="clear" w:color="auto" w:fill="FFFFFF"/>
            <w:tcMar>
              <w:top w:w="80" w:type="dxa"/>
              <w:left w:w="100" w:type="dxa"/>
              <w:bottom w:w="80" w:type="dxa"/>
              <w:right w:w="100" w:type="dxa"/>
            </w:tcMar>
            <w:vAlign w:val="center"/>
          </w:tcPr>
          <w:p w14:paraId="745A0A83" w14:textId="77777777" w:rsidR="00FC39D9" w:rsidRDefault="00FC39D9"/>
        </w:tc>
        <w:tc>
          <w:tcPr>
            <w:tcW w:w="2900" w:type="dxa"/>
            <w:shd w:val="clear" w:color="auto" w:fill="FFFFFF"/>
            <w:tcMar>
              <w:top w:w="80" w:type="dxa"/>
              <w:left w:w="100" w:type="dxa"/>
              <w:bottom w:w="80" w:type="dxa"/>
              <w:right w:w="100" w:type="dxa"/>
            </w:tcMar>
            <w:vAlign w:val="center"/>
          </w:tcPr>
          <w:p w14:paraId="3D524C56" w14:textId="77777777" w:rsidR="00FC39D9" w:rsidRDefault="00FC39D9"/>
        </w:tc>
      </w:tr>
    </w:tbl>
    <w:p w14:paraId="5E4BADAA" w14:textId="77777777" w:rsidR="00FC39D9" w:rsidRDefault="00000000">
      <w:pPr>
        <w:pStyle w:val="Heading2"/>
      </w:pPr>
      <w:r>
        <w:t>E. Screening Log</w:t>
      </w:r>
    </w:p>
    <w:tbl>
      <w:tblPr>
        <w:tblW w:w="94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900"/>
        <w:gridCol w:w="1600"/>
        <w:gridCol w:w="1300"/>
        <w:gridCol w:w="2000"/>
        <w:gridCol w:w="1500"/>
        <w:gridCol w:w="2100"/>
      </w:tblGrid>
      <w:tr w:rsidR="00FC39D9" w14:paraId="7CC0EACA" w14:textId="77777777">
        <w:tblPrEx>
          <w:tblCellMar>
            <w:top w:w="0" w:type="dxa"/>
            <w:bottom w:w="0" w:type="dxa"/>
          </w:tblCellMar>
        </w:tblPrEx>
        <w:trPr>
          <w:tblHeader/>
        </w:trPr>
        <w:tc>
          <w:tcPr>
            <w:tcW w:w="900" w:type="dxa"/>
            <w:shd w:val="clear" w:color="auto" w:fill="44546A"/>
            <w:tcMar>
              <w:top w:w="80" w:type="dxa"/>
              <w:left w:w="100" w:type="dxa"/>
              <w:bottom w:w="80" w:type="dxa"/>
              <w:right w:w="100" w:type="dxa"/>
            </w:tcMar>
            <w:vAlign w:val="center"/>
          </w:tcPr>
          <w:p w14:paraId="18524793" w14:textId="77777777" w:rsidR="00FC39D9" w:rsidRDefault="00000000">
            <w:r>
              <w:rPr>
                <w:b/>
                <w:bCs/>
                <w:color w:val="FFFFFF"/>
                <w:sz w:val="19"/>
                <w:szCs w:val="19"/>
              </w:rPr>
              <w:t>Subject #</w:t>
            </w:r>
          </w:p>
        </w:tc>
        <w:tc>
          <w:tcPr>
            <w:tcW w:w="1600" w:type="dxa"/>
            <w:shd w:val="clear" w:color="auto" w:fill="44546A"/>
            <w:tcMar>
              <w:top w:w="80" w:type="dxa"/>
              <w:left w:w="100" w:type="dxa"/>
              <w:bottom w:w="80" w:type="dxa"/>
              <w:right w:w="100" w:type="dxa"/>
            </w:tcMar>
            <w:vAlign w:val="center"/>
          </w:tcPr>
          <w:p w14:paraId="27908CB3" w14:textId="77777777" w:rsidR="00FC39D9" w:rsidRDefault="00000000">
            <w:r>
              <w:rPr>
                <w:b/>
                <w:bCs/>
                <w:color w:val="FFFFFF"/>
                <w:sz w:val="19"/>
                <w:szCs w:val="19"/>
              </w:rPr>
              <w:t>Screening Date</w:t>
            </w:r>
          </w:p>
        </w:tc>
        <w:tc>
          <w:tcPr>
            <w:tcW w:w="1300" w:type="dxa"/>
            <w:shd w:val="clear" w:color="auto" w:fill="44546A"/>
            <w:tcMar>
              <w:top w:w="80" w:type="dxa"/>
              <w:left w:w="100" w:type="dxa"/>
              <w:bottom w:w="80" w:type="dxa"/>
              <w:right w:w="100" w:type="dxa"/>
            </w:tcMar>
            <w:vAlign w:val="center"/>
          </w:tcPr>
          <w:p w14:paraId="6F726EA4" w14:textId="77777777" w:rsidR="00FC39D9" w:rsidRDefault="00000000">
            <w:r>
              <w:rPr>
                <w:b/>
                <w:bCs/>
                <w:color w:val="FFFFFF"/>
                <w:sz w:val="19"/>
                <w:szCs w:val="19"/>
              </w:rPr>
              <w:t>Consent Date</w:t>
            </w:r>
          </w:p>
        </w:tc>
        <w:tc>
          <w:tcPr>
            <w:tcW w:w="2000" w:type="dxa"/>
            <w:shd w:val="clear" w:color="auto" w:fill="44546A"/>
            <w:tcMar>
              <w:top w:w="80" w:type="dxa"/>
              <w:left w:w="100" w:type="dxa"/>
              <w:bottom w:w="80" w:type="dxa"/>
              <w:right w:w="100" w:type="dxa"/>
            </w:tcMar>
            <w:vAlign w:val="center"/>
          </w:tcPr>
          <w:p w14:paraId="140B6B96" w14:textId="77777777" w:rsidR="00FC39D9" w:rsidRDefault="00000000">
            <w:r>
              <w:rPr>
                <w:b/>
                <w:bCs/>
                <w:color w:val="FFFFFF"/>
                <w:sz w:val="19"/>
                <w:szCs w:val="19"/>
              </w:rPr>
              <w:t>Eligible (Y/N)</w:t>
            </w:r>
          </w:p>
        </w:tc>
        <w:tc>
          <w:tcPr>
            <w:tcW w:w="1500" w:type="dxa"/>
            <w:shd w:val="clear" w:color="auto" w:fill="44546A"/>
            <w:tcMar>
              <w:top w:w="80" w:type="dxa"/>
              <w:left w:w="100" w:type="dxa"/>
              <w:bottom w:w="80" w:type="dxa"/>
              <w:right w:w="100" w:type="dxa"/>
            </w:tcMar>
            <w:vAlign w:val="center"/>
          </w:tcPr>
          <w:p w14:paraId="152B2373" w14:textId="77777777" w:rsidR="00FC39D9" w:rsidRDefault="00000000">
            <w:r>
              <w:rPr>
                <w:b/>
                <w:bCs/>
                <w:color w:val="FFFFFF"/>
                <w:sz w:val="19"/>
                <w:szCs w:val="19"/>
              </w:rPr>
              <w:t>Screen Fail Reason (if applicable)</w:t>
            </w:r>
          </w:p>
        </w:tc>
        <w:tc>
          <w:tcPr>
            <w:tcW w:w="2100" w:type="dxa"/>
            <w:shd w:val="clear" w:color="auto" w:fill="44546A"/>
            <w:tcMar>
              <w:top w:w="80" w:type="dxa"/>
              <w:left w:w="100" w:type="dxa"/>
              <w:bottom w:w="80" w:type="dxa"/>
              <w:right w:w="100" w:type="dxa"/>
            </w:tcMar>
            <w:vAlign w:val="center"/>
          </w:tcPr>
          <w:p w14:paraId="32FBB0F8" w14:textId="77777777" w:rsidR="00FC39D9" w:rsidRDefault="00000000">
            <w:r>
              <w:rPr>
                <w:b/>
                <w:bCs/>
                <w:color w:val="FFFFFF"/>
                <w:sz w:val="19"/>
                <w:szCs w:val="19"/>
              </w:rPr>
              <w:t>Randomization Date (if enrolled)</w:t>
            </w:r>
          </w:p>
        </w:tc>
      </w:tr>
      <w:tr w:rsidR="00FC39D9" w14:paraId="1A12886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FFC3947" w14:textId="77777777" w:rsidR="00FC39D9" w:rsidRDefault="00FC39D9"/>
        </w:tc>
        <w:tc>
          <w:tcPr>
            <w:tcW w:w="1600" w:type="dxa"/>
            <w:shd w:val="clear" w:color="auto" w:fill="FFFFFF"/>
            <w:tcMar>
              <w:top w:w="80" w:type="dxa"/>
              <w:left w:w="100" w:type="dxa"/>
              <w:bottom w:w="80" w:type="dxa"/>
              <w:right w:w="100" w:type="dxa"/>
            </w:tcMar>
            <w:vAlign w:val="center"/>
          </w:tcPr>
          <w:p w14:paraId="5A2E0FDD" w14:textId="77777777" w:rsidR="00FC39D9" w:rsidRDefault="00FC39D9"/>
        </w:tc>
        <w:tc>
          <w:tcPr>
            <w:tcW w:w="1300" w:type="dxa"/>
            <w:shd w:val="clear" w:color="auto" w:fill="FFFFFF"/>
            <w:tcMar>
              <w:top w:w="80" w:type="dxa"/>
              <w:left w:w="100" w:type="dxa"/>
              <w:bottom w:w="80" w:type="dxa"/>
              <w:right w:w="100" w:type="dxa"/>
            </w:tcMar>
            <w:vAlign w:val="center"/>
          </w:tcPr>
          <w:p w14:paraId="34237E88" w14:textId="77777777" w:rsidR="00FC39D9" w:rsidRDefault="00FC39D9"/>
        </w:tc>
        <w:tc>
          <w:tcPr>
            <w:tcW w:w="2000" w:type="dxa"/>
            <w:shd w:val="clear" w:color="auto" w:fill="FFFFFF"/>
            <w:tcMar>
              <w:top w:w="80" w:type="dxa"/>
              <w:left w:w="100" w:type="dxa"/>
              <w:bottom w:w="80" w:type="dxa"/>
              <w:right w:w="100" w:type="dxa"/>
            </w:tcMar>
            <w:vAlign w:val="center"/>
          </w:tcPr>
          <w:p w14:paraId="50B9FACD" w14:textId="77777777" w:rsidR="00FC39D9" w:rsidRDefault="00FC39D9"/>
        </w:tc>
        <w:tc>
          <w:tcPr>
            <w:tcW w:w="1500" w:type="dxa"/>
            <w:shd w:val="clear" w:color="auto" w:fill="FFFFFF"/>
            <w:tcMar>
              <w:top w:w="80" w:type="dxa"/>
              <w:left w:w="100" w:type="dxa"/>
              <w:bottom w:w="80" w:type="dxa"/>
              <w:right w:w="100" w:type="dxa"/>
            </w:tcMar>
            <w:vAlign w:val="center"/>
          </w:tcPr>
          <w:p w14:paraId="09D76AAF" w14:textId="77777777" w:rsidR="00FC39D9" w:rsidRDefault="00FC39D9"/>
        </w:tc>
        <w:tc>
          <w:tcPr>
            <w:tcW w:w="2100" w:type="dxa"/>
            <w:shd w:val="clear" w:color="auto" w:fill="FFFFFF"/>
            <w:tcMar>
              <w:top w:w="80" w:type="dxa"/>
              <w:left w:w="100" w:type="dxa"/>
              <w:bottom w:w="80" w:type="dxa"/>
              <w:right w:w="100" w:type="dxa"/>
            </w:tcMar>
            <w:vAlign w:val="center"/>
          </w:tcPr>
          <w:p w14:paraId="282477BE" w14:textId="77777777" w:rsidR="00FC39D9" w:rsidRDefault="00FC39D9"/>
        </w:tc>
      </w:tr>
      <w:tr w:rsidR="00FC39D9" w14:paraId="2344B42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4075266" w14:textId="77777777" w:rsidR="00FC39D9" w:rsidRDefault="00FC39D9"/>
        </w:tc>
        <w:tc>
          <w:tcPr>
            <w:tcW w:w="1600" w:type="dxa"/>
            <w:shd w:val="clear" w:color="auto" w:fill="F2F2F2"/>
            <w:tcMar>
              <w:top w:w="80" w:type="dxa"/>
              <w:left w:w="100" w:type="dxa"/>
              <w:bottom w:w="80" w:type="dxa"/>
              <w:right w:w="100" w:type="dxa"/>
            </w:tcMar>
            <w:vAlign w:val="center"/>
          </w:tcPr>
          <w:p w14:paraId="37F0E660" w14:textId="77777777" w:rsidR="00FC39D9" w:rsidRDefault="00FC39D9"/>
        </w:tc>
        <w:tc>
          <w:tcPr>
            <w:tcW w:w="1300" w:type="dxa"/>
            <w:shd w:val="clear" w:color="auto" w:fill="F2F2F2"/>
            <w:tcMar>
              <w:top w:w="80" w:type="dxa"/>
              <w:left w:w="100" w:type="dxa"/>
              <w:bottom w:w="80" w:type="dxa"/>
              <w:right w:w="100" w:type="dxa"/>
            </w:tcMar>
            <w:vAlign w:val="center"/>
          </w:tcPr>
          <w:p w14:paraId="2FC2CA1E" w14:textId="77777777" w:rsidR="00FC39D9" w:rsidRDefault="00FC39D9"/>
        </w:tc>
        <w:tc>
          <w:tcPr>
            <w:tcW w:w="2000" w:type="dxa"/>
            <w:shd w:val="clear" w:color="auto" w:fill="F2F2F2"/>
            <w:tcMar>
              <w:top w:w="80" w:type="dxa"/>
              <w:left w:w="100" w:type="dxa"/>
              <w:bottom w:w="80" w:type="dxa"/>
              <w:right w:w="100" w:type="dxa"/>
            </w:tcMar>
            <w:vAlign w:val="center"/>
          </w:tcPr>
          <w:p w14:paraId="5ED0A12F" w14:textId="77777777" w:rsidR="00FC39D9" w:rsidRDefault="00FC39D9"/>
        </w:tc>
        <w:tc>
          <w:tcPr>
            <w:tcW w:w="1500" w:type="dxa"/>
            <w:shd w:val="clear" w:color="auto" w:fill="F2F2F2"/>
            <w:tcMar>
              <w:top w:w="80" w:type="dxa"/>
              <w:left w:w="100" w:type="dxa"/>
              <w:bottom w:w="80" w:type="dxa"/>
              <w:right w:w="100" w:type="dxa"/>
            </w:tcMar>
            <w:vAlign w:val="center"/>
          </w:tcPr>
          <w:p w14:paraId="04C48270" w14:textId="77777777" w:rsidR="00FC39D9" w:rsidRDefault="00FC39D9"/>
        </w:tc>
        <w:tc>
          <w:tcPr>
            <w:tcW w:w="2100" w:type="dxa"/>
            <w:shd w:val="clear" w:color="auto" w:fill="F2F2F2"/>
            <w:tcMar>
              <w:top w:w="80" w:type="dxa"/>
              <w:left w:w="100" w:type="dxa"/>
              <w:bottom w:w="80" w:type="dxa"/>
              <w:right w:w="100" w:type="dxa"/>
            </w:tcMar>
            <w:vAlign w:val="center"/>
          </w:tcPr>
          <w:p w14:paraId="01CCA78E" w14:textId="77777777" w:rsidR="00FC39D9" w:rsidRDefault="00FC39D9"/>
        </w:tc>
      </w:tr>
      <w:tr w:rsidR="00FC39D9" w14:paraId="77F8D67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DBFED2D" w14:textId="77777777" w:rsidR="00FC39D9" w:rsidRDefault="00FC39D9"/>
        </w:tc>
        <w:tc>
          <w:tcPr>
            <w:tcW w:w="1600" w:type="dxa"/>
            <w:shd w:val="clear" w:color="auto" w:fill="FFFFFF"/>
            <w:tcMar>
              <w:top w:w="80" w:type="dxa"/>
              <w:left w:w="100" w:type="dxa"/>
              <w:bottom w:w="80" w:type="dxa"/>
              <w:right w:w="100" w:type="dxa"/>
            </w:tcMar>
            <w:vAlign w:val="center"/>
          </w:tcPr>
          <w:p w14:paraId="66FA99E2" w14:textId="77777777" w:rsidR="00FC39D9" w:rsidRDefault="00FC39D9"/>
        </w:tc>
        <w:tc>
          <w:tcPr>
            <w:tcW w:w="1300" w:type="dxa"/>
            <w:shd w:val="clear" w:color="auto" w:fill="FFFFFF"/>
            <w:tcMar>
              <w:top w:w="80" w:type="dxa"/>
              <w:left w:w="100" w:type="dxa"/>
              <w:bottom w:w="80" w:type="dxa"/>
              <w:right w:w="100" w:type="dxa"/>
            </w:tcMar>
            <w:vAlign w:val="center"/>
          </w:tcPr>
          <w:p w14:paraId="36EE5855" w14:textId="77777777" w:rsidR="00FC39D9" w:rsidRDefault="00FC39D9"/>
        </w:tc>
        <w:tc>
          <w:tcPr>
            <w:tcW w:w="2000" w:type="dxa"/>
            <w:shd w:val="clear" w:color="auto" w:fill="FFFFFF"/>
            <w:tcMar>
              <w:top w:w="80" w:type="dxa"/>
              <w:left w:w="100" w:type="dxa"/>
              <w:bottom w:w="80" w:type="dxa"/>
              <w:right w:w="100" w:type="dxa"/>
            </w:tcMar>
            <w:vAlign w:val="center"/>
          </w:tcPr>
          <w:p w14:paraId="70BF7790" w14:textId="77777777" w:rsidR="00FC39D9" w:rsidRDefault="00FC39D9"/>
        </w:tc>
        <w:tc>
          <w:tcPr>
            <w:tcW w:w="1500" w:type="dxa"/>
            <w:shd w:val="clear" w:color="auto" w:fill="FFFFFF"/>
            <w:tcMar>
              <w:top w:w="80" w:type="dxa"/>
              <w:left w:w="100" w:type="dxa"/>
              <w:bottom w:w="80" w:type="dxa"/>
              <w:right w:w="100" w:type="dxa"/>
            </w:tcMar>
            <w:vAlign w:val="center"/>
          </w:tcPr>
          <w:p w14:paraId="7C5AC279" w14:textId="77777777" w:rsidR="00FC39D9" w:rsidRDefault="00FC39D9"/>
        </w:tc>
        <w:tc>
          <w:tcPr>
            <w:tcW w:w="2100" w:type="dxa"/>
            <w:shd w:val="clear" w:color="auto" w:fill="FFFFFF"/>
            <w:tcMar>
              <w:top w:w="80" w:type="dxa"/>
              <w:left w:w="100" w:type="dxa"/>
              <w:bottom w:w="80" w:type="dxa"/>
              <w:right w:w="100" w:type="dxa"/>
            </w:tcMar>
            <w:vAlign w:val="center"/>
          </w:tcPr>
          <w:p w14:paraId="40E3A334" w14:textId="77777777" w:rsidR="00FC39D9" w:rsidRDefault="00FC39D9"/>
        </w:tc>
      </w:tr>
    </w:tbl>
    <w:p w14:paraId="20492FA9" w14:textId="77777777" w:rsidR="00FC39D9" w:rsidRDefault="00000000">
      <w:pPr>
        <w:pStyle w:val="Heading2"/>
      </w:pPr>
      <w:r>
        <w:t xml:space="preserve">F. </w:t>
      </w:r>
      <w:proofErr w:type="spellStart"/>
      <w:r>
        <w:t>Enrollment</w:t>
      </w:r>
      <w:proofErr w:type="spellEnd"/>
      <w:r>
        <w:t xml:space="preserve"> Log</w:t>
      </w:r>
    </w:p>
    <w:tbl>
      <w:tblPr>
        <w:tblW w:w="84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877"/>
        <w:gridCol w:w="1507"/>
        <w:gridCol w:w="1172"/>
        <w:gridCol w:w="928"/>
        <w:gridCol w:w="1188"/>
        <w:gridCol w:w="2728"/>
      </w:tblGrid>
      <w:tr w:rsidR="00FC39D9" w14:paraId="3A8EE72F" w14:textId="77777777">
        <w:tblPrEx>
          <w:tblCellMar>
            <w:top w:w="0" w:type="dxa"/>
            <w:bottom w:w="0" w:type="dxa"/>
          </w:tblCellMar>
        </w:tblPrEx>
        <w:trPr>
          <w:tblHeader/>
        </w:trPr>
        <w:tc>
          <w:tcPr>
            <w:tcW w:w="900" w:type="dxa"/>
            <w:shd w:val="clear" w:color="auto" w:fill="44546A"/>
            <w:tcMar>
              <w:top w:w="80" w:type="dxa"/>
              <w:left w:w="100" w:type="dxa"/>
              <w:bottom w:w="80" w:type="dxa"/>
              <w:right w:w="100" w:type="dxa"/>
            </w:tcMar>
            <w:vAlign w:val="center"/>
          </w:tcPr>
          <w:p w14:paraId="32B62D5A" w14:textId="77777777" w:rsidR="00FC39D9" w:rsidRDefault="00000000">
            <w:r>
              <w:rPr>
                <w:b/>
                <w:bCs/>
                <w:color w:val="FFFFFF"/>
                <w:sz w:val="19"/>
                <w:szCs w:val="19"/>
              </w:rPr>
              <w:t>Subject #</w:t>
            </w:r>
          </w:p>
        </w:tc>
        <w:tc>
          <w:tcPr>
            <w:tcW w:w="1300" w:type="dxa"/>
            <w:shd w:val="clear" w:color="auto" w:fill="44546A"/>
            <w:tcMar>
              <w:top w:w="80" w:type="dxa"/>
              <w:left w:w="100" w:type="dxa"/>
              <w:bottom w:w="80" w:type="dxa"/>
              <w:right w:w="100" w:type="dxa"/>
            </w:tcMar>
            <w:vAlign w:val="center"/>
          </w:tcPr>
          <w:p w14:paraId="11F6B010" w14:textId="77777777" w:rsidR="00FC39D9" w:rsidRDefault="00000000">
            <w:r>
              <w:rPr>
                <w:b/>
                <w:bCs/>
                <w:color w:val="FFFFFF"/>
                <w:sz w:val="19"/>
                <w:szCs w:val="19"/>
              </w:rPr>
              <w:t>Randomization Date</w:t>
            </w:r>
          </w:p>
        </w:tc>
        <w:tc>
          <w:tcPr>
            <w:tcW w:w="1300" w:type="dxa"/>
            <w:shd w:val="clear" w:color="auto" w:fill="44546A"/>
            <w:tcMar>
              <w:top w:w="80" w:type="dxa"/>
              <w:left w:w="100" w:type="dxa"/>
              <w:bottom w:w="80" w:type="dxa"/>
              <w:right w:w="100" w:type="dxa"/>
            </w:tcMar>
            <w:vAlign w:val="center"/>
          </w:tcPr>
          <w:p w14:paraId="3FCD0B89" w14:textId="77777777" w:rsidR="00FC39D9" w:rsidRDefault="00000000">
            <w:r>
              <w:rPr>
                <w:b/>
                <w:bCs/>
                <w:color w:val="FFFFFF"/>
                <w:sz w:val="19"/>
                <w:szCs w:val="19"/>
              </w:rPr>
              <w:t>Treatment Arm (per IRT)</w:t>
            </w:r>
          </w:p>
        </w:tc>
        <w:tc>
          <w:tcPr>
            <w:tcW w:w="1600" w:type="dxa"/>
            <w:shd w:val="clear" w:color="auto" w:fill="44546A"/>
            <w:tcMar>
              <w:top w:w="80" w:type="dxa"/>
              <w:left w:w="100" w:type="dxa"/>
              <w:bottom w:w="80" w:type="dxa"/>
              <w:right w:w="100" w:type="dxa"/>
            </w:tcMar>
            <w:vAlign w:val="center"/>
          </w:tcPr>
          <w:p w14:paraId="384069AD" w14:textId="77777777" w:rsidR="00FC39D9" w:rsidRDefault="00000000">
            <w:r>
              <w:rPr>
                <w:b/>
                <w:bCs/>
                <w:color w:val="FFFFFF"/>
                <w:sz w:val="19"/>
                <w:szCs w:val="19"/>
              </w:rPr>
              <w:t>Site ID</w:t>
            </w:r>
          </w:p>
        </w:tc>
        <w:tc>
          <w:tcPr>
            <w:tcW w:w="1600" w:type="dxa"/>
            <w:shd w:val="clear" w:color="auto" w:fill="44546A"/>
            <w:tcMar>
              <w:top w:w="80" w:type="dxa"/>
              <w:left w:w="100" w:type="dxa"/>
              <w:bottom w:w="80" w:type="dxa"/>
              <w:right w:w="100" w:type="dxa"/>
            </w:tcMar>
            <w:vAlign w:val="center"/>
          </w:tcPr>
          <w:p w14:paraId="1A22E2B3" w14:textId="77777777" w:rsidR="00FC39D9" w:rsidRDefault="00000000">
            <w:r>
              <w:rPr>
                <w:b/>
                <w:bCs/>
                <w:color w:val="FFFFFF"/>
                <w:sz w:val="19"/>
                <w:szCs w:val="19"/>
              </w:rPr>
              <w:t>WHO FC at Baseline</w:t>
            </w:r>
          </w:p>
        </w:tc>
        <w:tc>
          <w:tcPr>
            <w:tcW w:w="1700" w:type="dxa"/>
            <w:shd w:val="clear" w:color="auto" w:fill="44546A"/>
            <w:tcMar>
              <w:top w:w="80" w:type="dxa"/>
              <w:left w:w="100" w:type="dxa"/>
              <w:bottom w:w="80" w:type="dxa"/>
              <w:right w:w="100" w:type="dxa"/>
            </w:tcMar>
            <w:vAlign w:val="center"/>
          </w:tcPr>
          <w:p w14:paraId="475FA021" w14:textId="77777777" w:rsidR="00FC39D9" w:rsidRDefault="00000000">
            <w:r>
              <w:rPr>
                <w:b/>
                <w:bCs/>
                <w:color w:val="FFFFFF"/>
                <w:sz w:val="19"/>
                <w:szCs w:val="19"/>
              </w:rPr>
              <w:t>Status (Active/EOT/EOS/Withdrawn)</w:t>
            </w:r>
          </w:p>
        </w:tc>
      </w:tr>
      <w:tr w:rsidR="00FC39D9" w14:paraId="72A41090"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747BDB5" w14:textId="77777777" w:rsidR="00FC39D9" w:rsidRDefault="00FC39D9"/>
        </w:tc>
        <w:tc>
          <w:tcPr>
            <w:tcW w:w="1300" w:type="dxa"/>
            <w:shd w:val="clear" w:color="auto" w:fill="FFFFFF"/>
            <w:tcMar>
              <w:top w:w="80" w:type="dxa"/>
              <w:left w:w="100" w:type="dxa"/>
              <w:bottom w:w="80" w:type="dxa"/>
              <w:right w:w="100" w:type="dxa"/>
            </w:tcMar>
            <w:vAlign w:val="center"/>
          </w:tcPr>
          <w:p w14:paraId="3645951B" w14:textId="77777777" w:rsidR="00FC39D9" w:rsidRDefault="00FC39D9"/>
        </w:tc>
        <w:tc>
          <w:tcPr>
            <w:tcW w:w="1300" w:type="dxa"/>
            <w:shd w:val="clear" w:color="auto" w:fill="FFFFFF"/>
            <w:tcMar>
              <w:top w:w="80" w:type="dxa"/>
              <w:left w:w="100" w:type="dxa"/>
              <w:bottom w:w="80" w:type="dxa"/>
              <w:right w:w="100" w:type="dxa"/>
            </w:tcMar>
            <w:vAlign w:val="center"/>
          </w:tcPr>
          <w:p w14:paraId="26760A2C" w14:textId="77777777" w:rsidR="00FC39D9" w:rsidRDefault="00FC39D9"/>
        </w:tc>
        <w:tc>
          <w:tcPr>
            <w:tcW w:w="1600" w:type="dxa"/>
            <w:shd w:val="clear" w:color="auto" w:fill="FFFFFF"/>
            <w:tcMar>
              <w:top w:w="80" w:type="dxa"/>
              <w:left w:w="100" w:type="dxa"/>
              <w:bottom w:w="80" w:type="dxa"/>
              <w:right w:w="100" w:type="dxa"/>
            </w:tcMar>
            <w:vAlign w:val="center"/>
          </w:tcPr>
          <w:p w14:paraId="1970F9E7" w14:textId="77777777" w:rsidR="00FC39D9" w:rsidRDefault="00FC39D9"/>
        </w:tc>
        <w:tc>
          <w:tcPr>
            <w:tcW w:w="1600" w:type="dxa"/>
            <w:shd w:val="clear" w:color="auto" w:fill="FFFFFF"/>
            <w:tcMar>
              <w:top w:w="80" w:type="dxa"/>
              <w:left w:w="100" w:type="dxa"/>
              <w:bottom w:w="80" w:type="dxa"/>
              <w:right w:w="100" w:type="dxa"/>
            </w:tcMar>
            <w:vAlign w:val="center"/>
          </w:tcPr>
          <w:p w14:paraId="1E2FC413" w14:textId="77777777" w:rsidR="00FC39D9" w:rsidRDefault="00FC39D9"/>
        </w:tc>
        <w:tc>
          <w:tcPr>
            <w:tcW w:w="1700" w:type="dxa"/>
            <w:shd w:val="clear" w:color="auto" w:fill="FFFFFF"/>
            <w:tcMar>
              <w:top w:w="80" w:type="dxa"/>
              <w:left w:w="100" w:type="dxa"/>
              <w:bottom w:w="80" w:type="dxa"/>
              <w:right w:w="100" w:type="dxa"/>
            </w:tcMar>
            <w:vAlign w:val="center"/>
          </w:tcPr>
          <w:p w14:paraId="2981C660" w14:textId="77777777" w:rsidR="00FC39D9" w:rsidRDefault="00FC39D9"/>
        </w:tc>
      </w:tr>
      <w:tr w:rsidR="00FC39D9" w14:paraId="091DAC2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B1C4D4A" w14:textId="77777777" w:rsidR="00FC39D9" w:rsidRDefault="00FC39D9"/>
        </w:tc>
        <w:tc>
          <w:tcPr>
            <w:tcW w:w="1300" w:type="dxa"/>
            <w:shd w:val="clear" w:color="auto" w:fill="F2F2F2"/>
            <w:tcMar>
              <w:top w:w="80" w:type="dxa"/>
              <w:left w:w="100" w:type="dxa"/>
              <w:bottom w:w="80" w:type="dxa"/>
              <w:right w:w="100" w:type="dxa"/>
            </w:tcMar>
            <w:vAlign w:val="center"/>
          </w:tcPr>
          <w:p w14:paraId="27CDD5CB" w14:textId="77777777" w:rsidR="00FC39D9" w:rsidRDefault="00FC39D9"/>
        </w:tc>
        <w:tc>
          <w:tcPr>
            <w:tcW w:w="1300" w:type="dxa"/>
            <w:shd w:val="clear" w:color="auto" w:fill="F2F2F2"/>
            <w:tcMar>
              <w:top w:w="80" w:type="dxa"/>
              <w:left w:w="100" w:type="dxa"/>
              <w:bottom w:w="80" w:type="dxa"/>
              <w:right w:w="100" w:type="dxa"/>
            </w:tcMar>
            <w:vAlign w:val="center"/>
          </w:tcPr>
          <w:p w14:paraId="1E8F9248" w14:textId="77777777" w:rsidR="00FC39D9" w:rsidRDefault="00FC39D9"/>
        </w:tc>
        <w:tc>
          <w:tcPr>
            <w:tcW w:w="1600" w:type="dxa"/>
            <w:shd w:val="clear" w:color="auto" w:fill="F2F2F2"/>
            <w:tcMar>
              <w:top w:w="80" w:type="dxa"/>
              <w:left w:w="100" w:type="dxa"/>
              <w:bottom w:w="80" w:type="dxa"/>
              <w:right w:w="100" w:type="dxa"/>
            </w:tcMar>
            <w:vAlign w:val="center"/>
          </w:tcPr>
          <w:p w14:paraId="04EB9D37" w14:textId="77777777" w:rsidR="00FC39D9" w:rsidRDefault="00FC39D9"/>
        </w:tc>
        <w:tc>
          <w:tcPr>
            <w:tcW w:w="1600" w:type="dxa"/>
            <w:shd w:val="clear" w:color="auto" w:fill="F2F2F2"/>
            <w:tcMar>
              <w:top w:w="80" w:type="dxa"/>
              <w:left w:w="100" w:type="dxa"/>
              <w:bottom w:w="80" w:type="dxa"/>
              <w:right w:w="100" w:type="dxa"/>
            </w:tcMar>
            <w:vAlign w:val="center"/>
          </w:tcPr>
          <w:p w14:paraId="5DFAFE47" w14:textId="77777777" w:rsidR="00FC39D9" w:rsidRDefault="00FC39D9"/>
        </w:tc>
        <w:tc>
          <w:tcPr>
            <w:tcW w:w="1700" w:type="dxa"/>
            <w:shd w:val="clear" w:color="auto" w:fill="F2F2F2"/>
            <w:tcMar>
              <w:top w:w="80" w:type="dxa"/>
              <w:left w:w="100" w:type="dxa"/>
              <w:bottom w:w="80" w:type="dxa"/>
              <w:right w:w="100" w:type="dxa"/>
            </w:tcMar>
            <w:vAlign w:val="center"/>
          </w:tcPr>
          <w:p w14:paraId="00F9C596" w14:textId="77777777" w:rsidR="00FC39D9" w:rsidRDefault="00FC39D9"/>
        </w:tc>
      </w:tr>
      <w:tr w:rsidR="00FC39D9" w14:paraId="48F1869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262823A" w14:textId="77777777" w:rsidR="00FC39D9" w:rsidRDefault="00FC39D9"/>
        </w:tc>
        <w:tc>
          <w:tcPr>
            <w:tcW w:w="1300" w:type="dxa"/>
            <w:shd w:val="clear" w:color="auto" w:fill="FFFFFF"/>
            <w:tcMar>
              <w:top w:w="80" w:type="dxa"/>
              <w:left w:w="100" w:type="dxa"/>
              <w:bottom w:w="80" w:type="dxa"/>
              <w:right w:w="100" w:type="dxa"/>
            </w:tcMar>
            <w:vAlign w:val="center"/>
          </w:tcPr>
          <w:p w14:paraId="282ACE8A" w14:textId="77777777" w:rsidR="00FC39D9" w:rsidRDefault="00FC39D9"/>
        </w:tc>
        <w:tc>
          <w:tcPr>
            <w:tcW w:w="1300" w:type="dxa"/>
            <w:shd w:val="clear" w:color="auto" w:fill="FFFFFF"/>
            <w:tcMar>
              <w:top w:w="80" w:type="dxa"/>
              <w:left w:w="100" w:type="dxa"/>
              <w:bottom w:w="80" w:type="dxa"/>
              <w:right w:w="100" w:type="dxa"/>
            </w:tcMar>
            <w:vAlign w:val="center"/>
          </w:tcPr>
          <w:p w14:paraId="0D424FAA" w14:textId="77777777" w:rsidR="00FC39D9" w:rsidRDefault="00FC39D9"/>
        </w:tc>
        <w:tc>
          <w:tcPr>
            <w:tcW w:w="1600" w:type="dxa"/>
            <w:shd w:val="clear" w:color="auto" w:fill="FFFFFF"/>
            <w:tcMar>
              <w:top w:w="80" w:type="dxa"/>
              <w:left w:w="100" w:type="dxa"/>
              <w:bottom w:w="80" w:type="dxa"/>
              <w:right w:w="100" w:type="dxa"/>
            </w:tcMar>
            <w:vAlign w:val="center"/>
          </w:tcPr>
          <w:p w14:paraId="43F6E3D5" w14:textId="77777777" w:rsidR="00FC39D9" w:rsidRDefault="00FC39D9"/>
        </w:tc>
        <w:tc>
          <w:tcPr>
            <w:tcW w:w="1600" w:type="dxa"/>
            <w:shd w:val="clear" w:color="auto" w:fill="FFFFFF"/>
            <w:tcMar>
              <w:top w:w="80" w:type="dxa"/>
              <w:left w:w="100" w:type="dxa"/>
              <w:bottom w:w="80" w:type="dxa"/>
              <w:right w:w="100" w:type="dxa"/>
            </w:tcMar>
            <w:vAlign w:val="center"/>
          </w:tcPr>
          <w:p w14:paraId="718F2942" w14:textId="77777777" w:rsidR="00FC39D9" w:rsidRDefault="00FC39D9"/>
        </w:tc>
        <w:tc>
          <w:tcPr>
            <w:tcW w:w="1700" w:type="dxa"/>
            <w:shd w:val="clear" w:color="auto" w:fill="FFFFFF"/>
            <w:tcMar>
              <w:top w:w="80" w:type="dxa"/>
              <w:left w:w="100" w:type="dxa"/>
              <w:bottom w:w="80" w:type="dxa"/>
              <w:right w:w="100" w:type="dxa"/>
            </w:tcMar>
            <w:vAlign w:val="center"/>
          </w:tcPr>
          <w:p w14:paraId="1C2EC2BD" w14:textId="77777777" w:rsidR="00FC39D9" w:rsidRDefault="00FC39D9"/>
        </w:tc>
      </w:tr>
    </w:tbl>
    <w:p w14:paraId="74C4C543" w14:textId="77777777" w:rsidR="00FC39D9" w:rsidRDefault="00000000">
      <w:pPr>
        <w:pStyle w:val="Heading2"/>
      </w:pPr>
      <w:r>
        <w:t>G. Monitoring Visit Action Log</w:t>
      </w:r>
    </w:p>
    <w:tbl>
      <w:tblPr>
        <w:tblW w:w="92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1300"/>
        <w:gridCol w:w="1500"/>
        <w:gridCol w:w="3200"/>
        <w:gridCol w:w="1300"/>
        <w:gridCol w:w="1900"/>
      </w:tblGrid>
      <w:tr w:rsidR="00FC39D9" w14:paraId="46B24BFA" w14:textId="77777777">
        <w:tblPrEx>
          <w:tblCellMar>
            <w:top w:w="0" w:type="dxa"/>
            <w:bottom w:w="0" w:type="dxa"/>
          </w:tblCellMar>
        </w:tblPrEx>
        <w:trPr>
          <w:tblHeader/>
        </w:trPr>
        <w:tc>
          <w:tcPr>
            <w:tcW w:w="1300" w:type="dxa"/>
            <w:shd w:val="clear" w:color="auto" w:fill="44546A"/>
            <w:tcMar>
              <w:top w:w="80" w:type="dxa"/>
              <w:left w:w="100" w:type="dxa"/>
              <w:bottom w:w="80" w:type="dxa"/>
              <w:right w:w="100" w:type="dxa"/>
            </w:tcMar>
            <w:vAlign w:val="center"/>
          </w:tcPr>
          <w:p w14:paraId="3BD091F4" w14:textId="77777777" w:rsidR="00FC39D9" w:rsidRDefault="00000000">
            <w:r>
              <w:rPr>
                <w:b/>
                <w:bCs/>
                <w:color w:val="FFFFFF"/>
                <w:sz w:val="19"/>
                <w:szCs w:val="19"/>
              </w:rPr>
              <w:t>Visit Date</w:t>
            </w:r>
          </w:p>
        </w:tc>
        <w:tc>
          <w:tcPr>
            <w:tcW w:w="1500" w:type="dxa"/>
            <w:shd w:val="clear" w:color="auto" w:fill="44546A"/>
            <w:tcMar>
              <w:top w:w="80" w:type="dxa"/>
              <w:left w:w="100" w:type="dxa"/>
              <w:bottom w:w="80" w:type="dxa"/>
              <w:right w:w="100" w:type="dxa"/>
            </w:tcMar>
            <w:vAlign w:val="center"/>
          </w:tcPr>
          <w:p w14:paraId="4B7C05CC" w14:textId="77777777" w:rsidR="00FC39D9" w:rsidRDefault="00000000">
            <w:r>
              <w:rPr>
                <w:b/>
                <w:bCs/>
                <w:color w:val="FFFFFF"/>
                <w:sz w:val="19"/>
                <w:szCs w:val="19"/>
              </w:rPr>
              <w:t>Finding Category</w:t>
            </w:r>
          </w:p>
        </w:tc>
        <w:tc>
          <w:tcPr>
            <w:tcW w:w="3200" w:type="dxa"/>
            <w:shd w:val="clear" w:color="auto" w:fill="44546A"/>
            <w:tcMar>
              <w:top w:w="80" w:type="dxa"/>
              <w:left w:w="100" w:type="dxa"/>
              <w:bottom w:w="80" w:type="dxa"/>
              <w:right w:w="100" w:type="dxa"/>
            </w:tcMar>
            <w:vAlign w:val="center"/>
          </w:tcPr>
          <w:p w14:paraId="6FF739E0" w14:textId="77777777" w:rsidR="00FC39D9" w:rsidRDefault="00000000">
            <w:r>
              <w:rPr>
                <w:b/>
                <w:bCs/>
                <w:color w:val="FFFFFF"/>
                <w:sz w:val="19"/>
                <w:szCs w:val="19"/>
              </w:rPr>
              <w:t>Description / Action Required</w:t>
            </w:r>
          </w:p>
        </w:tc>
        <w:tc>
          <w:tcPr>
            <w:tcW w:w="1300" w:type="dxa"/>
            <w:shd w:val="clear" w:color="auto" w:fill="44546A"/>
            <w:tcMar>
              <w:top w:w="80" w:type="dxa"/>
              <w:left w:w="100" w:type="dxa"/>
              <w:bottom w:w="80" w:type="dxa"/>
              <w:right w:w="100" w:type="dxa"/>
            </w:tcMar>
            <w:vAlign w:val="center"/>
          </w:tcPr>
          <w:p w14:paraId="7A742D40" w14:textId="77777777" w:rsidR="00FC39D9" w:rsidRDefault="00000000">
            <w:r>
              <w:rPr>
                <w:b/>
                <w:bCs/>
                <w:color w:val="FFFFFF"/>
                <w:sz w:val="19"/>
                <w:szCs w:val="19"/>
              </w:rPr>
              <w:t>Owner</w:t>
            </w:r>
          </w:p>
        </w:tc>
        <w:tc>
          <w:tcPr>
            <w:tcW w:w="1900" w:type="dxa"/>
            <w:shd w:val="clear" w:color="auto" w:fill="44546A"/>
            <w:tcMar>
              <w:top w:w="80" w:type="dxa"/>
              <w:left w:w="100" w:type="dxa"/>
              <w:bottom w:w="80" w:type="dxa"/>
              <w:right w:w="100" w:type="dxa"/>
            </w:tcMar>
            <w:vAlign w:val="center"/>
          </w:tcPr>
          <w:p w14:paraId="55F8D939" w14:textId="77777777" w:rsidR="00FC39D9" w:rsidRDefault="00000000">
            <w:r>
              <w:rPr>
                <w:b/>
                <w:bCs/>
                <w:color w:val="FFFFFF"/>
                <w:sz w:val="19"/>
                <w:szCs w:val="19"/>
              </w:rPr>
              <w:t>Target Resolution Date</w:t>
            </w:r>
          </w:p>
        </w:tc>
      </w:tr>
      <w:tr w:rsidR="00FC39D9" w14:paraId="1DA90CEB"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4119A1B8" w14:textId="77777777" w:rsidR="00FC39D9" w:rsidRDefault="00FC39D9"/>
        </w:tc>
        <w:tc>
          <w:tcPr>
            <w:tcW w:w="1500" w:type="dxa"/>
            <w:shd w:val="clear" w:color="auto" w:fill="FFFFFF"/>
            <w:tcMar>
              <w:top w:w="80" w:type="dxa"/>
              <w:left w:w="100" w:type="dxa"/>
              <w:bottom w:w="80" w:type="dxa"/>
              <w:right w:w="100" w:type="dxa"/>
            </w:tcMar>
            <w:vAlign w:val="center"/>
          </w:tcPr>
          <w:p w14:paraId="0F5DD8E7" w14:textId="77777777" w:rsidR="00FC39D9" w:rsidRDefault="00FC39D9"/>
        </w:tc>
        <w:tc>
          <w:tcPr>
            <w:tcW w:w="3200" w:type="dxa"/>
            <w:shd w:val="clear" w:color="auto" w:fill="FFFFFF"/>
            <w:tcMar>
              <w:top w:w="80" w:type="dxa"/>
              <w:left w:w="100" w:type="dxa"/>
              <w:bottom w:w="80" w:type="dxa"/>
              <w:right w:w="100" w:type="dxa"/>
            </w:tcMar>
            <w:vAlign w:val="center"/>
          </w:tcPr>
          <w:p w14:paraId="1E56CD38" w14:textId="77777777" w:rsidR="00FC39D9" w:rsidRDefault="00FC39D9"/>
        </w:tc>
        <w:tc>
          <w:tcPr>
            <w:tcW w:w="1300" w:type="dxa"/>
            <w:shd w:val="clear" w:color="auto" w:fill="FFFFFF"/>
            <w:tcMar>
              <w:top w:w="80" w:type="dxa"/>
              <w:left w:w="100" w:type="dxa"/>
              <w:bottom w:w="80" w:type="dxa"/>
              <w:right w:w="100" w:type="dxa"/>
            </w:tcMar>
            <w:vAlign w:val="center"/>
          </w:tcPr>
          <w:p w14:paraId="030B92C6" w14:textId="77777777" w:rsidR="00FC39D9" w:rsidRDefault="00FC39D9"/>
        </w:tc>
        <w:tc>
          <w:tcPr>
            <w:tcW w:w="1900" w:type="dxa"/>
            <w:shd w:val="clear" w:color="auto" w:fill="FFFFFF"/>
            <w:tcMar>
              <w:top w:w="80" w:type="dxa"/>
              <w:left w:w="100" w:type="dxa"/>
              <w:bottom w:w="80" w:type="dxa"/>
              <w:right w:w="100" w:type="dxa"/>
            </w:tcMar>
            <w:vAlign w:val="center"/>
          </w:tcPr>
          <w:p w14:paraId="6E0A5699" w14:textId="77777777" w:rsidR="00FC39D9" w:rsidRDefault="00FC39D9"/>
        </w:tc>
      </w:tr>
      <w:tr w:rsidR="00FC39D9" w14:paraId="2D959B84"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79615BF9" w14:textId="77777777" w:rsidR="00FC39D9" w:rsidRDefault="00FC39D9"/>
        </w:tc>
        <w:tc>
          <w:tcPr>
            <w:tcW w:w="1500" w:type="dxa"/>
            <w:shd w:val="clear" w:color="auto" w:fill="F2F2F2"/>
            <w:tcMar>
              <w:top w:w="80" w:type="dxa"/>
              <w:left w:w="100" w:type="dxa"/>
              <w:bottom w:w="80" w:type="dxa"/>
              <w:right w:w="100" w:type="dxa"/>
            </w:tcMar>
            <w:vAlign w:val="center"/>
          </w:tcPr>
          <w:p w14:paraId="27126009" w14:textId="77777777" w:rsidR="00FC39D9" w:rsidRDefault="00FC39D9"/>
        </w:tc>
        <w:tc>
          <w:tcPr>
            <w:tcW w:w="3200" w:type="dxa"/>
            <w:shd w:val="clear" w:color="auto" w:fill="F2F2F2"/>
            <w:tcMar>
              <w:top w:w="80" w:type="dxa"/>
              <w:left w:w="100" w:type="dxa"/>
              <w:bottom w:w="80" w:type="dxa"/>
              <w:right w:w="100" w:type="dxa"/>
            </w:tcMar>
            <w:vAlign w:val="center"/>
          </w:tcPr>
          <w:p w14:paraId="06FB076C" w14:textId="77777777" w:rsidR="00FC39D9" w:rsidRDefault="00FC39D9"/>
        </w:tc>
        <w:tc>
          <w:tcPr>
            <w:tcW w:w="1300" w:type="dxa"/>
            <w:shd w:val="clear" w:color="auto" w:fill="F2F2F2"/>
            <w:tcMar>
              <w:top w:w="80" w:type="dxa"/>
              <w:left w:w="100" w:type="dxa"/>
              <w:bottom w:w="80" w:type="dxa"/>
              <w:right w:w="100" w:type="dxa"/>
            </w:tcMar>
            <w:vAlign w:val="center"/>
          </w:tcPr>
          <w:p w14:paraId="67587F04" w14:textId="77777777" w:rsidR="00FC39D9" w:rsidRDefault="00FC39D9"/>
        </w:tc>
        <w:tc>
          <w:tcPr>
            <w:tcW w:w="1900" w:type="dxa"/>
            <w:shd w:val="clear" w:color="auto" w:fill="F2F2F2"/>
            <w:tcMar>
              <w:top w:w="80" w:type="dxa"/>
              <w:left w:w="100" w:type="dxa"/>
              <w:bottom w:w="80" w:type="dxa"/>
              <w:right w:w="100" w:type="dxa"/>
            </w:tcMar>
            <w:vAlign w:val="center"/>
          </w:tcPr>
          <w:p w14:paraId="490DB2EA" w14:textId="77777777" w:rsidR="00FC39D9" w:rsidRDefault="00FC39D9"/>
        </w:tc>
      </w:tr>
      <w:tr w:rsidR="00FC39D9" w14:paraId="3352AF2F"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F7BEEFE" w14:textId="77777777" w:rsidR="00FC39D9" w:rsidRDefault="00FC39D9"/>
        </w:tc>
        <w:tc>
          <w:tcPr>
            <w:tcW w:w="1500" w:type="dxa"/>
            <w:shd w:val="clear" w:color="auto" w:fill="FFFFFF"/>
            <w:tcMar>
              <w:top w:w="80" w:type="dxa"/>
              <w:left w:w="100" w:type="dxa"/>
              <w:bottom w:w="80" w:type="dxa"/>
              <w:right w:w="100" w:type="dxa"/>
            </w:tcMar>
            <w:vAlign w:val="center"/>
          </w:tcPr>
          <w:p w14:paraId="308C7086" w14:textId="77777777" w:rsidR="00FC39D9" w:rsidRDefault="00FC39D9"/>
        </w:tc>
        <w:tc>
          <w:tcPr>
            <w:tcW w:w="3200" w:type="dxa"/>
            <w:shd w:val="clear" w:color="auto" w:fill="FFFFFF"/>
            <w:tcMar>
              <w:top w:w="80" w:type="dxa"/>
              <w:left w:w="100" w:type="dxa"/>
              <w:bottom w:w="80" w:type="dxa"/>
              <w:right w:w="100" w:type="dxa"/>
            </w:tcMar>
            <w:vAlign w:val="center"/>
          </w:tcPr>
          <w:p w14:paraId="16C58DE3" w14:textId="77777777" w:rsidR="00FC39D9" w:rsidRDefault="00FC39D9"/>
        </w:tc>
        <w:tc>
          <w:tcPr>
            <w:tcW w:w="1300" w:type="dxa"/>
            <w:shd w:val="clear" w:color="auto" w:fill="FFFFFF"/>
            <w:tcMar>
              <w:top w:w="80" w:type="dxa"/>
              <w:left w:w="100" w:type="dxa"/>
              <w:bottom w:w="80" w:type="dxa"/>
              <w:right w:w="100" w:type="dxa"/>
            </w:tcMar>
            <w:vAlign w:val="center"/>
          </w:tcPr>
          <w:p w14:paraId="33E102B3" w14:textId="77777777" w:rsidR="00FC39D9" w:rsidRDefault="00FC39D9"/>
        </w:tc>
        <w:tc>
          <w:tcPr>
            <w:tcW w:w="1900" w:type="dxa"/>
            <w:shd w:val="clear" w:color="auto" w:fill="FFFFFF"/>
            <w:tcMar>
              <w:top w:w="80" w:type="dxa"/>
              <w:left w:w="100" w:type="dxa"/>
              <w:bottom w:w="80" w:type="dxa"/>
              <w:right w:w="100" w:type="dxa"/>
            </w:tcMar>
            <w:vAlign w:val="center"/>
          </w:tcPr>
          <w:p w14:paraId="5A316092" w14:textId="77777777" w:rsidR="00FC39D9" w:rsidRDefault="00FC39D9"/>
        </w:tc>
      </w:tr>
    </w:tbl>
    <w:p w14:paraId="0617785E" w14:textId="77777777" w:rsidR="00413106" w:rsidRDefault="00413106"/>
    <w:sectPr w:rsidR="00413106">
      <w:headerReference w:type="default" r:id="rId7"/>
      <w:footerReference w:type="default" r:id="rId8"/>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B6018" w14:textId="77777777" w:rsidR="00413106" w:rsidRDefault="00413106">
      <w:r>
        <w:separator/>
      </w:r>
    </w:p>
  </w:endnote>
  <w:endnote w:type="continuationSeparator" w:id="0">
    <w:p w14:paraId="60548A15" w14:textId="77777777" w:rsidR="00413106" w:rsidRDefault="00413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BB39" w14:textId="77777777" w:rsidR="00FC39D9"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C2A1B">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C2A1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EEAEE" w14:textId="77777777" w:rsidR="00413106" w:rsidRDefault="00413106">
      <w:r>
        <w:separator/>
      </w:r>
    </w:p>
  </w:footnote>
  <w:footnote w:type="continuationSeparator" w:id="0">
    <w:p w14:paraId="374C6921" w14:textId="77777777" w:rsidR="00413106" w:rsidRDefault="00413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81A1" w14:textId="77777777" w:rsidR="00FC39D9" w:rsidRDefault="00000000">
    <w:pPr>
      <w:pBdr>
        <w:bottom w:val="single" w:sz="4" w:space="4" w:color="BFBFBF"/>
      </w:pBdr>
      <w:jc w:val="right"/>
    </w:pPr>
    <w:r>
      <w:rPr>
        <w:i/>
        <w:iCs/>
        <w:color w:val="808080"/>
        <w:sz w:val="16"/>
        <w:szCs w:val="16"/>
      </w:rPr>
      <w:t>Clinical Trial Operations Training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0F3D"/>
    <w:multiLevelType w:val="hybridMultilevel"/>
    <w:tmpl w:val="8F92655A"/>
    <w:lvl w:ilvl="0" w:tplc="B192B9E6">
      <w:start w:val="1"/>
      <w:numFmt w:val="bullet"/>
      <w:lvlText w:val="•"/>
      <w:lvlJc w:val="left"/>
      <w:pPr>
        <w:ind w:left="540" w:hanging="270"/>
      </w:pPr>
    </w:lvl>
    <w:lvl w:ilvl="1" w:tplc="447CD840">
      <w:start w:val="1"/>
      <w:numFmt w:val="bullet"/>
      <w:lvlText w:val="–"/>
      <w:lvlJc w:val="left"/>
      <w:pPr>
        <w:ind w:left="900" w:hanging="270"/>
      </w:pPr>
    </w:lvl>
    <w:lvl w:ilvl="2" w:tplc="AA9EFA82">
      <w:numFmt w:val="decimal"/>
      <w:lvlText w:val=""/>
      <w:lvlJc w:val="left"/>
    </w:lvl>
    <w:lvl w:ilvl="3" w:tplc="079A01B6">
      <w:numFmt w:val="decimal"/>
      <w:lvlText w:val=""/>
      <w:lvlJc w:val="left"/>
    </w:lvl>
    <w:lvl w:ilvl="4" w:tplc="1ECCD70C">
      <w:numFmt w:val="decimal"/>
      <w:lvlText w:val=""/>
      <w:lvlJc w:val="left"/>
    </w:lvl>
    <w:lvl w:ilvl="5" w:tplc="9894DDE2">
      <w:numFmt w:val="decimal"/>
      <w:lvlText w:val=""/>
      <w:lvlJc w:val="left"/>
    </w:lvl>
    <w:lvl w:ilvl="6" w:tplc="EB84E360">
      <w:numFmt w:val="decimal"/>
      <w:lvlText w:val=""/>
      <w:lvlJc w:val="left"/>
    </w:lvl>
    <w:lvl w:ilvl="7" w:tplc="81FCFDD8">
      <w:numFmt w:val="decimal"/>
      <w:lvlText w:val=""/>
      <w:lvlJc w:val="left"/>
    </w:lvl>
    <w:lvl w:ilvl="8" w:tplc="DFE4DD54">
      <w:numFmt w:val="decimal"/>
      <w:lvlText w:val=""/>
      <w:lvlJc w:val="left"/>
    </w:lvl>
  </w:abstractNum>
  <w:abstractNum w:abstractNumId="1" w15:restartNumberingAfterBreak="0">
    <w:nsid w:val="1BC91D40"/>
    <w:multiLevelType w:val="hybridMultilevel"/>
    <w:tmpl w:val="949483AA"/>
    <w:lvl w:ilvl="0" w:tplc="A8F43ED6">
      <w:start w:val="1"/>
      <w:numFmt w:val="decimal"/>
      <w:lvlText w:val="%1."/>
      <w:lvlJc w:val="left"/>
      <w:pPr>
        <w:ind w:left="540" w:hanging="300"/>
      </w:pPr>
    </w:lvl>
    <w:lvl w:ilvl="1" w:tplc="FD5412BC">
      <w:numFmt w:val="decimal"/>
      <w:lvlText w:val=""/>
      <w:lvlJc w:val="left"/>
    </w:lvl>
    <w:lvl w:ilvl="2" w:tplc="2946ED56">
      <w:numFmt w:val="decimal"/>
      <w:lvlText w:val=""/>
      <w:lvlJc w:val="left"/>
    </w:lvl>
    <w:lvl w:ilvl="3" w:tplc="92345036">
      <w:numFmt w:val="decimal"/>
      <w:lvlText w:val=""/>
      <w:lvlJc w:val="left"/>
    </w:lvl>
    <w:lvl w:ilvl="4" w:tplc="7810A346">
      <w:numFmt w:val="decimal"/>
      <w:lvlText w:val=""/>
      <w:lvlJc w:val="left"/>
    </w:lvl>
    <w:lvl w:ilvl="5" w:tplc="57F61344">
      <w:numFmt w:val="decimal"/>
      <w:lvlText w:val=""/>
      <w:lvlJc w:val="left"/>
    </w:lvl>
    <w:lvl w:ilvl="6" w:tplc="70A04308">
      <w:numFmt w:val="decimal"/>
      <w:lvlText w:val=""/>
      <w:lvlJc w:val="left"/>
    </w:lvl>
    <w:lvl w:ilvl="7" w:tplc="E6ACDD74">
      <w:numFmt w:val="decimal"/>
      <w:lvlText w:val=""/>
      <w:lvlJc w:val="left"/>
    </w:lvl>
    <w:lvl w:ilvl="8" w:tplc="4E64EA44">
      <w:numFmt w:val="decimal"/>
      <w:lvlText w:val=""/>
      <w:lvlJc w:val="left"/>
    </w:lvl>
  </w:abstractNum>
  <w:abstractNum w:abstractNumId="2" w15:restartNumberingAfterBreak="0">
    <w:nsid w:val="28CA04F2"/>
    <w:multiLevelType w:val="hybridMultilevel"/>
    <w:tmpl w:val="EF369796"/>
    <w:lvl w:ilvl="0" w:tplc="CD026EB6">
      <w:start w:val="1"/>
      <w:numFmt w:val="bullet"/>
      <w:lvlText w:val="●"/>
      <w:lvlJc w:val="left"/>
      <w:pPr>
        <w:ind w:left="720" w:hanging="360"/>
      </w:pPr>
    </w:lvl>
    <w:lvl w:ilvl="1" w:tplc="AD42718C">
      <w:start w:val="1"/>
      <w:numFmt w:val="bullet"/>
      <w:lvlText w:val="○"/>
      <w:lvlJc w:val="left"/>
      <w:pPr>
        <w:ind w:left="1440" w:hanging="360"/>
      </w:pPr>
    </w:lvl>
    <w:lvl w:ilvl="2" w:tplc="7174EB9C">
      <w:start w:val="1"/>
      <w:numFmt w:val="bullet"/>
      <w:lvlText w:val="■"/>
      <w:lvlJc w:val="left"/>
      <w:pPr>
        <w:ind w:left="2160" w:hanging="360"/>
      </w:pPr>
    </w:lvl>
    <w:lvl w:ilvl="3" w:tplc="4216A104">
      <w:start w:val="1"/>
      <w:numFmt w:val="bullet"/>
      <w:lvlText w:val="●"/>
      <w:lvlJc w:val="left"/>
      <w:pPr>
        <w:ind w:left="2880" w:hanging="360"/>
      </w:pPr>
    </w:lvl>
    <w:lvl w:ilvl="4" w:tplc="9A0E92EE">
      <w:start w:val="1"/>
      <w:numFmt w:val="bullet"/>
      <w:lvlText w:val="○"/>
      <w:lvlJc w:val="left"/>
      <w:pPr>
        <w:ind w:left="3600" w:hanging="360"/>
      </w:pPr>
    </w:lvl>
    <w:lvl w:ilvl="5" w:tplc="260E2B6C">
      <w:start w:val="1"/>
      <w:numFmt w:val="bullet"/>
      <w:lvlText w:val="■"/>
      <w:lvlJc w:val="left"/>
      <w:pPr>
        <w:ind w:left="4320" w:hanging="360"/>
      </w:pPr>
    </w:lvl>
    <w:lvl w:ilvl="6" w:tplc="27E02FD6">
      <w:start w:val="1"/>
      <w:numFmt w:val="bullet"/>
      <w:lvlText w:val="●"/>
      <w:lvlJc w:val="left"/>
      <w:pPr>
        <w:ind w:left="5040" w:hanging="360"/>
      </w:pPr>
    </w:lvl>
    <w:lvl w:ilvl="7" w:tplc="ABC2CD40">
      <w:start w:val="1"/>
      <w:numFmt w:val="bullet"/>
      <w:lvlText w:val="●"/>
      <w:lvlJc w:val="left"/>
      <w:pPr>
        <w:ind w:left="5760" w:hanging="360"/>
      </w:pPr>
    </w:lvl>
    <w:lvl w:ilvl="8" w:tplc="AB64C37C">
      <w:start w:val="1"/>
      <w:numFmt w:val="bullet"/>
      <w:lvlText w:val="●"/>
      <w:lvlJc w:val="left"/>
      <w:pPr>
        <w:ind w:left="6480" w:hanging="360"/>
      </w:pPr>
    </w:lvl>
  </w:abstractNum>
  <w:num w:numId="1" w16cid:durableId="1118524339">
    <w:abstractNumId w:val="2"/>
    <w:lvlOverride w:ilvl="0">
      <w:startOverride w:val="1"/>
    </w:lvlOverride>
  </w:num>
  <w:num w:numId="2" w16cid:durableId="1462073190">
    <w:abstractNumId w:val="0"/>
    <w:lvlOverride w:ilvl="0">
      <w:startOverride w:val="1"/>
    </w:lvlOverride>
  </w:num>
  <w:num w:numId="3" w16cid:durableId="5511876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D9"/>
    <w:rsid w:val="00250E15"/>
    <w:rsid w:val="00413106"/>
    <w:rsid w:val="008C2A1B"/>
    <w:rsid w:val="00F50147"/>
    <w:rsid w:val="00FC3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1010"/>
  <w15:docId w15:val="{14052C3C-2DA0-4382-A1A7-CBB2F43A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480" w:after="200"/>
      <w:outlineLvl w:val="0"/>
    </w:pPr>
    <w:rPr>
      <w:rFonts w:ascii="Aptos Display" w:eastAsia="Aptos Display" w:hAnsi="Aptos Display" w:cs="Aptos Display"/>
      <w:b/>
      <w:bCs/>
      <w:color w:val="1F3864"/>
      <w:sz w:val="32"/>
      <w:szCs w:val="32"/>
    </w:rPr>
  </w:style>
  <w:style w:type="paragraph" w:styleId="Heading2">
    <w:name w:val="heading 2"/>
    <w:uiPriority w:val="9"/>
    <w:unhideWhenUsed/>
    <w:qFormat/>
    <w:pPr>
      <w:spacing w:before="300" w:after="140"/>
      <w:outlineLvl w:val="1"/>
    </w:pPr>
    <w:rPr>
      <w:rFonts w:ascii="Aptos Display" w:eastAsia="Aptos Display" w:hAnsi="Aptos Display" w:cs="Aptos Display"/>
      <w:b/>
      <w:bCs/>
      <w:color w:val="2E5395"/>
      <w:sz w:val="25"/>
      <w:szCs w:val="25"/>
    </w:rPr>
  </w:style>
  <w:style w:type="paragraph" w:styleId="Heading3">
    <w:name w:val="heading 3"/>
    <w:uiPriority w:val="9"/>
    <w:semiHidden/>
    <w:unhideWhenUsed/>
    <w:qFormat/>
    <w:pPr>
      <w:spacing w:before="200" w:after="100"/>
      <w:outlineLvl w:val="2"/>
    </w:pPr>
    <w:rPr>
      <w:rFonts w:ascii="Aptos Display" w:eastAsia="Aptos Display" w:hAnsi="Aptos Display" w:cs="Aptos Display"/>
      <w:b/>
      <w:bCs/>
      <w:i/>
      <w:iCs/>
      <w:color w:val="44546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0147"/>
    <w:pPr>
      <w:tabs>
        <w:tab w:val="center" w:pos="4513"/>
        <w:tab w:val="right" w:pos="9026"/>
      </w:tabs>
    </w:pPr>
  </w:style>
  <w:style w:type="character" w:customStyle="1" w:styleId="HeaderChar">
    <w:name w:val="Header Char"/>
    <w:basedOn w:val="DefaultParagraphFont"/>
    <w:link w:val="Header"/>
    <w:uiPriority w:val="99"/>
    <w:rsid w:val="00F50147"/>
  </w:style>
  <w:style w:type="paragraph" w:styleId="Footer">
    <w:name w:val="footer"/>
    <w:basedOn w:val="Normal"/>
    <w:link w:val="FooterChar"/>
    <w:uiPriority w:val="99"/>
    <w:unhideWhenUsed/>
    <w:rsid w:val="00F50147"/>
    <w:pPr>
      <w:tabs>
        <w:tab w:val="center" w:pos="4513"/>
        <w:tab w:val="right" w:pos="9026"/>
      </w:tabs>
    </w:pPr>
  </w:style>
  <w:style w:type="character" w:customStyle="1" w:styleId="FooterChar">
    <w:name w:val="Footer Char"/>
    <w:basedOn w:val="DefaultParagraphFont"/>
    <w:link w:val="Footer"/>
    <w:uiPriority w:val="99"/>
    <w:rsid w:val="00F50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5890</Words>
  <Characters>33574</Characters>
  <Application>Microsoft Office Word</Application>
  <DocSecurity>0</DocSecurity>
  <Lines>279</Lines>
  <Paragraphs>78</Paragraphs>
  <ScaleCrop>false</ScaleCrop>
  <Company/>
  <LinksUpToDate>false</LinksUpToDate>
  <CharactersWithSpaces>39386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 Operations Training Workbook</dc:title>
  <dc:creator>Clinical Trial Operations Training</dc:creator>
  <dc:description>Operational training workbook based on the INITIATE-PAH mock protocol</dc:description>
  <cp:lastModifiedBy>Sri Nithya S</cp:lastModifiedBy>
  <cp:revision>3</cp:revision>
  <dcterms:created xsi:type="dcterms:W3CDTF">2026-07-13T07:28:00Z</dcterms:created>
  <dcterms:modified xsi:type="dcterms:W3CDTF">2026-07-13T08:15:00Z</dcterms:modified>
</cp:coreProperties>
</file>