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2A4A"/>
          <w:sz w:val="44"/>
          <w:szCs w:val="44"/>
        </w:rPr>
        <w:t xml:space="preserve">Tepat Bill</w:t>
      </w:r>
    </w:p>
    <w:p>
      <w:pPr>
        <w:spacing w:after="200"/>
      </w:pPr>
      <w:r>
        <w:rPr>
          <w:color w:val="555555"/>
          <w:sz w:val="24"/>
          <w:szCs w:val="24"/>
        </w:rPr>
        <w:t xml:space="preserve">Demo video script · 70 seconds · Owner and Manager sides · Team Alt + Win + R</w:t>
      </w:r>
    </w:p>
    <w:p>
      <w:pPr>
        <w:spacing w:after="100"/>
      </w:pPr>
      <w:r>
        <w:rPr>
          <w:b/>
          <w:bCs/>
          <w:sz w:val="22"/>
          <w:szCs w:val="22"/>
        </w:rPr>
        <w:t xml:space="preserve">Live app: https://tepat-bill.replit.app    ·    Owner PIN 1234    ·    Manager PIN 5678</w:t>
      </w:r>
    </w:p>
    <w:p>
      <w:pPr>
        <w:pStyle w:val="Heading1"/>
        <w:spacing w:after="120" w:before="280"/>
      </w:pPr>
      <w:r>
        <w:t xml:space="preserve">Before you hit record</w:t>
      </w:r>
    </w:p>
    <w:p>
      <w:pPr>
        <w:pStyle w:val="ListParagraph"/>
        <w:numPr>
          <w:ilvl w:val="0"/>
          <w:numId w:val="2"/>
        </w:numPr>
        <w:spacing w:after="60"/>
      </w:pPr>
      <w:r>
        <w:rPr>
          <w:sz w:val="22"/>
          <w:szCs w:val="22"/>
        </w:rPr>
        <w:t xml:space="preserve">Redeploy the latest main first, so the live site has the "Cuba fail contoh" sample files and the Manager label.</w:t>
      </w:r>
    </w:p>
    <w:p>
      <w:pPr>
        <w:pStyle w:val="ListParagraph"/>
        <w:numPr>
          <w:ilvl w:val="0"/>
          <w:numId w:val="2"/>
        </w:numPr>
        <w:spacing w:after="60"/>
      </w:pPr>
      <w:r>
        <w:rPr>
          <w:sz w:val="22"/>
          <w:szCs w:val="22"/>
        </w:rPr>
        <w:t xml:space="preserve">Log in as Owner (1234), open Settings, tap "Set semula demo", then log out. This wipes everything back to an empty app. Do this before every take.</w:t>
      </w:r>
    </w:p>
    <w:p>
      <w:pPr>
        <w:pStyle w:val="ListParagraph"/>
        <w:numPr>
          <w:ilvl w:val="0"/>
          <w:numId w:val="2"/>
        </w:numPr>
        <w:spacing w:after="60"/>
      </w:pPr>
      <w:r>
        <w:rPr>
          <w:sz w:val="22"/>
          <w:szCs w:val="22"/>
        </w:rPr>
        <w:t xml:space="preserve">The app opens empty on purpose: no orders, invoices or flags exist until you scan them. Only the 4 suppliers and their price history are loaded.</w:t>
      </w:r>
    </w:p>
    <w:p>
      <w:pPr>
        <w:pStyle w:val="ListParagraph"/>
        <w:numPr>
          <w:ilvl w:val="0"/>
          <w:numId w:val="2"/>
        </w:numPr>
        <w:spacing w:after="60"/>
      </w:pPr>
      <w:r>
        <w:rPr>
          <w:sz w:val="22"/>
          <w:szCs w:val="22"/>
        </w:rPr>
        <w:t xml:space="preserve">Use a phone-sized window, Bahasa Malaysia selected, notifications off.</w:t>
      </w:r>
    </w:p>
    <w:p>
      <w:pPr>
        <w:pStyle w:val="ListParagraph"/>
        <w:numPr>
          <w:ilvl w:val="0"/>
          <w:numId w:val="2"/>
        </w:numPr>
        <w:spacing w:after="60"/>
      </w:pPr>
      <w:r>
        <w:rPr>
          <w:sz w:val="22"/>
          <w:szCs w:val="22"/>
        </w:rPr>
        <w:t xml:space="preserve">If the 4-step intro appears after a login, tap "Langkau" to skip it.</w:t>
      </w:r>
    </w:p>
    <w:p>
      <w:pPr>
        <w:pStyle w:val="ListParagraph"/>
        <w:numPr>
          <w:ilvl w:val="0"/>
          <w:numId w:val="2"/>
        </w:numPr>
        <w:spacing w:after="60"/>
      </w:pPr>
      <w:r>
        <w:rPr>
          <w:sz w:val="22"/>
          <w:szCs w:val="22"/>
        </w:rPr>
        <w:t xml:space="preserve">Do not refresh the page while recording: the PIN screen returns on every reload.</w:t>
      </w:r>
    </w:p>
    <w:p>
      <w:pPr>
        <w:pStyle w:val="ListParagraph"/>
        <w:numPr>
          <w:ilvl w:val="0"/>
          <w:numId w:val="2"/>
        </w:numPr>
        <w:spacing w:after="60"/>
      </w:pPr>
      <w:r>
        <w:rPr>
          <w:sz w:val="22"/>
          <w:szCs w:val="22"/>
        </w:rPr>
        <w:t xml:space="preserve">Uploading the same bon twice is blocked as a duplicate, so reset between takes.</w:t>
      </w:r>
    </w:p>
    <w:p>
      <w:pPr>
        <w:pStyle w:val="ListParagraph"/>
        <w:numPr>
          <w:ilvl w:val="0"/>
          <w:numId w:val="2"/>
        </w:numPr>
        <w:spacing w:after="60"/>
      </w:pPr>
      <w:r>
        <w:rPr>
          <w:sz w:val="22"/>
          <w:szCs w:val="22"/>
        </w:rPr>
        <w:t xml:space="preserve">Scan the order (Pesanan) BEFORE the delivery bon. That is what lets the bon match the order.</w:t>
      </w:r>
    </w:p>
    <w:p>
      <w:pPr>
        <w:pStyle w:val="Heading1"/>
        <w:spacing w:after="120" w:before="280"/>
      </w:pPr>
      <w:r>
        <w:t xml:space="preserve">The 70-second script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4306"/>
      </w:tblGrid>
      <w:tr>
        <w:trPr>
          <w:cantSplit/>
        </w:trPr>
        <w:tc>
          <w:tcPr>
            <w:tcW w:type="dxa" w:w="1300"/>
            <w:tcBorders>
              <w:top w:val="single" w:color="BFC5D2" w:sz="4"/>
              <w:left w:val="single" w:color="BFC5D2" w:sz="4"/>
              <w:bottom w:val="single" w:color="BFC5D2" w:sz="4"/>
              <w:right w:val="single" w:color="BFC5D2" w:sz="4"/>
            </w:tcBorders>
            <w:shd w:fill="2457D6" w:color="auto" w:val="clear"/>
            <w:tcMar>
              <w:top w:type="dxa" w:w="80"/>
              <w:left w:type="dxa" w:w="110"/>
              <w:bottom w:type="dxa" w:w="80"/>
              <w:right w:type="dxa" w:w="110"/>
            </w:tcMar>
          </w:tcPr>
          <w:p>
            <w:pPr>
              <w:spacing w:after="40"/>
            </w:pPr>
            <w:r>
              <w:rPr>
                <w:b/>
                <w:bCs/>
                <w:color w:val="FFFFFF"/>
                <w:sz w:val="21"/>
                <w:szCs w:val="21"/>
              </w:rPr>
              <w:t xml:space="preserve">Time</w:t>
            </w:r>
          </w:p>
        </w:tc>
        <w:tc>
          <w:tcPr>
            <w:tcW w:type="dxa" w:w="4300"/>
            <w:tcBorders>
              <w:top w:val="single" w:color="BFC5D2" w:sz="4"/>
              <w:left w:val="single" w:color="BFC5D2" w:sz="4"/>
              <w:bottom w:val="single" w:color="BFC5D2" w:sz="4"/>
              <w:right w:val="single" w:color="BFC5D2" w:sz="4"/>
            </w:tcBorders>
            <w:shd w:fill="2457D6" w:color="auto" w:val="clear"/>
            <w:tcMar>
              <w:top w:type="dxa" w:w="80"/>
              <w:left w:type="dxa" w:w="110"/>
              <w:bottom w:type="dxa" w:w="80"/>
              <w:right w:type="dxa" w:w="110"/>
            </w:tcMar>
          </w:tcPr>
          <w:p>
            <w:pPr>
              <w:spacing w:after="40"/>
            </w:pPr>
            <w:r>
              <w:rPr>
                <w:b/>
                <w:bCs/>
                <w:color w:val="FFFFFF"/>
                <w:sz w:val="21"/>
                <w:szCs w:val="21"/>
              </w:rPr>
              <w:t xml:space="preserve">What you do on screen</w:t>
            </w:r>
          </w:p>
        </w:tc>
        <w:tc>
          <w:tcPr>
            <w:tcW w:type="dxa" w:w="4306"/>
            <w:tcBorders>
              <w:top w:val="single" w:color="BFC5D2" w:sz="4"/>
              <w:left w:val="single" w:color="BFC5D2" w:sz="4"/>
              <w:bottom w:val="single" w:color="BFC5D2" w:sz="4"/>
              <w:right w:val="single" w:color="BFC5D2" w:sz="4"/>
            </w:tcBorders>
            <w:shd w:fill="2457D6" w:color="auto" w:val="clear"/>
            <w:tcMar>
              <w:top w:type="dxa" w:w="80"/>
              <w:left w:type="dxa" w:w="110"/>
              <w:bottom w:type="dxa" w:w="80"/>
              <w:right w:type="dxa" w:w="110"/>
            </w:tcMar>
          </w:tcPr>
          <w:p>
            <w:pPr>
              <w:spacing w:after="40"/>
            </w:pPr>
            <w:r>
              <w:rPr>
                <w:b/>
                <w:bCs/>
                <w:color w:val="FFFFFF"/>
                <w:sz w:val="21"/>
                <w:szCs w:val="21"/>
              </w:rPr>
              <w:t xml:space="preserve">What you say</w:t>
            </w:r>
          </w:p>
        </w:tc>
      </w:tr>
      <w:tr>
        <w:trPr>
          <w:cantSplit/>
        </w:trPr>
        <w:tc>
          <w:tcPr>
            <w:tcW w:type="dxa" w:w="1300"/>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0:00–0:05</w:t>
            </w:r>
          </w:p>
        </w:tc>
        <w:tc>
          <w:tcPr>
            <w:tcW w:type="dxa" w:w="4300"/>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Hold on the PIN screen.</w:t>
            </w:r>
          </w:p>
        </w:tc>
        <w:tc>
          <w:tcPr>
            <w:tcW w:type="dxa" w:w="4306"/>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"Small shops pay for deliveries that came up short. Tepat Bill catches it first."</w:t>
            </w:r>
          </w:p>
        </w:tc>
      </w:tr>
      <w:tr>
        <w:tc>
          <w:tcPr>
            <w:tcW w:type="dxa" w:w="9906"/>
            <w:gridSpan w:val="3"/>
            <w:tcBorders>
              <w:top w:val="single" w:color="BFC5D2" w:sz="4"/>
              <w:left w:val="single" w:color="BFC5D2" w:sz="4"/>
              <w:bottom w:val="single" w:color="BFC5D2" w:sz="4"/>
              <w:right w:val="single" w:color="BFC5D2" w:sz="4"/>
            </w:tcBorders>
            <w:shd w:fill="E8EEFB" w:color="auto" w:val="clear"/>
            <w:tcMar>
              <w:top w:type="dxa" w:w="60"/>
              <w:left w:type="dxa" w:w="110"/>
              <w:bottom w:type="dxa" w:w="60"/>
              <w:right w:type="dxa" w:w="110"/>
            </w:tcMar>
          </w:tcPr>
          <w:p>
            <w:r>
              <w:rPr>
                <w:b/>
                <w:bCs/>
                <w:color w:val="2457D6"/>
                <w:sz w:val="21"/>
                <w:szCs w:val="21"/>
              </w:rPr>
              <w:t xml:space="preserve">MANAGER SIDE (the app starts empty)</w:t>
            </w:r>
          </w:p>
        </w:tc>
      </w:tr>
      <w:tr>
        <w:trPr>
          <w:cantSplit/>
        </w:trPr>
        <w:tc>
          <w:tcPr>
            <w:tcW w:type="dxa" w:w="1300"/>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0:05–0:09</w:t>
            </w:r>
          </w:p>
        </w:tc>
        <w:tc>
          <w:tcPr>
            <w:tcW w:type="dxa" w:w="4300"/>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Enter 5678. Home is empty (RM0.00). Tap the Imbas button in the middle of the tab bar.</w:t>
            </w:r>
          </w:p>
        </w:tc>
        <w:tc>
          <w:tcPr>
            <w:tcW w:type="dxa" w:w="4306"/>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"The shop starts empty. I scan the order first."</w:t>
            </w:r>
          </w:p>
        </w:tc>
      </w:tr>
      <w:tr>
        <w:trPr>
          <w:cantSplit/>
        </w:trPr>
        <w:tc>
          <w:tcPr>
            <w:tcW w:type="dxa" w:w="1300"/>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0:09–0:16</w:t>
            </w:r>
          </w:p>
        </w:tc>
        <w:tc>
          <w:tcPr>
            <w:tcW w:type="dxa" w:w="4300"/>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Tap "Cuba fail contoh", then under Pesanan pick "Nota pesanan tulisan tangan". Hold 1 second on "4 baris dibaca". Tap "Semak &amp; simpan", then "Simpan pesanan".</w:t>
            </w:r>
          </w:p>
        </w:tc>
        <w:tc>
          <w:tcPr>
            <w:tcW w:type="dxa" w:w="4306"/>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"Gemini reads the handwritten order."</w:t>
            </w:r>
          </w:p>
        </w:tc>
      </w:tr>
      <w:tr>
        <w:trPr>
          <w:cantSplit/>
        </w:trPr>
        <w:tc>
          <w:tcPr>
            <w:tcW w:type="dxa" w:w="1300"/>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0:16–0:23</w:t>
            </w:r>
          </w:p>
        </w:tc>
        <w:tc>
          <w:tcPr>
            <w:tcW w:type="dxa" w:w="4300"/>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Wait for the "PO-2610-001 disimpan" message to fade. Tap Imbas, then "Cuba fail contoh", then "Bon bertandatangan (Maggi 8 sahaja)" in the delivery list. Tap "Semak &amp; simpan". It shows "Sepadan dengan PO-2610-001". Tap "Simpan &amp; kira barang".</w:t>
            </w:r>
          </w:p>
        </w:tc>
        <w:tc>
          <w:tcPr>
            <w:tcW w:type="dxa" w:w="4306"/>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"Then the signed delivery bon. It matches the order."</w:t>
            </w:r>
          </w:p>
        </w:tc>
      </w:tr>
      <w:tr>
        <w:trPr>
          <w:cantSplit/>
        </w:trPr>
        <w:tc>
          <w:tcPr>
            <w:tcW w:type="dxa" w:w="1300"/>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0:23–0:34</w:t>
            </w:r>
          </w:p>
        </w:tc>
        <w:tc>
          <w:tcPr>
            <w:tcW w:type="dxa" w:w="4300"/>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Tap "Kurang satu" twice so Maggi shows 8. Tap "Simpan kiraan". HOLD 4 seconds on "1 perbezaan ditemui · Anggaran RM90.00".</w:t>
            </w:r>
          </w:p>
        </w:tc>
        <w:tc>
          <w:tcPr>
            <w:tcW w:type="dxa" w:w="4306"/>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"I only type what really arrived. The app does the maths: short by 2, RM90."</w:t>
            </w:r>
          </w:p>
        </w:tc>
      </w:tr>
      <w:tr>
        <w:trPr>
          <w:cantSplit/>
        </w:trPr>
        <w:tc>
          <w:tcPr>
            <w:tcW w:type="dxa" w:w="1300"/>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0:34–0:36</w:t>
            </w:r>
          </w:p>
        </w:tc>
        <w:tc>
          <w:tcPr>
            <w:tcW w:type="dxa" w:w="4300"/>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Tap "Lihat aduan" (closes the result sheet).</w:t>
            </w:r>
          </w:p>
        </w:tc>
        <w:tc>
          <w:tcPr>
            <w:tcW w:type="dxa" w:w="4306"/>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(no narration)</w:t>
            </w:r>
          </w:p>
        </w:tc>
      </w:tr>
      <w:tr>
        <w:tc>
          <w:tcPr>
            <w:tcW w:type="dxa" w:w="9906"/>
            <w:gridSpan w:val="3"/>
            <w:tcBorders>
              <w:top w:val="single" w:color="BFC5D2" w:sz="4"/>
              <w:left w:val="single" w:color="BFC5D2" w:sz="4"/>
              <w:bottom w:val="single" w:color="BFC5D2" w:sz="4"/>
              <w:right w:val="single" w:color="BFC5D2" w:sz="4"/>
            </w:tcBorders>
            <w:shd w:fill="E8EEFB" w:color="auto" w:val="clear"/>
            <w:tcMar>
              <w:top w:type="dxa" w:w="60"/>
              <w:left w:type="dxa" w:w="110"/>
              <w:bottom w:type="dxa" w:w="60"/>
              <w:right w:type="dxa" w:w="110"/>
            </w:tcMar>
          </w:tcPr>
          <w:p>
            <w:r>
              <w:rPr>
                <w:b/>
                <w:bCs/>
                <w:color w:val="2457D6"/>
                <w:sz w:val="21"/>
                <w:szCs w:val="21"/>
              </w:rPr>
              <w:t xml:space="preserve">OWNER SIDE</w:t>
            </w:r>
          </w:p>
        </w:tc>
      </w:tr>
      <w:tr>
        <w:trPr>
          <w:cantSplit/>
        </w:trPr>
        <w:tc>
          <w:tcPr>
            <w:tcW w:type="dxa" w:w="1300"/>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0:36–0:44</w:t>
            </w:r>
          </w:p>
        </w:tc>
        <w:tc>
          <w:tcPr>
            <w:tcW w:type="dxa" w:w="4300"/>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Tap Lagi, then Tetapan, then "Tukar pengguna". Enter 1234.</w:t>
            </w:r>
          </w:p>
        </w:tc>
        <w:tc>
          <w:tcPr>
            <w:tcW w:type="dxa" w:w="4306"/>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"Now the owner. Nothing is sent without my approval."</w:t>
            </w:r>
          </w:p>
        </w:tc>
      </w:tr>
      <w:tr>
        <w:trPr>
          <w:cantSplit/>
        </w:trPr>
        <w:tc>
          <w:tcPr>
            <w:tcW w:type="dxa" w:w="1300"/>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0:44–0:50</w:t>
            </w:r>
          </w:p>
        </w:tc>
        <w:tc>
          <w:tcPr>
            <w:tcW w:type="dxa" w:w="4300"/>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Tap the Aduan tab, then the "Perlu semak" tab, then open the Maggi flag. Tap "Lulus". Hold 1 second on TERBUKA.</w:t>
            </w:r>
          </w:p>
        </w:tc>
        <w:tc>
          <w:tcPr>
            <w:tcW w:type="dxa" w:w="4306"/>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"I review the flag and approve it."</w:t>
            </w:r>
          </w:p>
        </w:tc>
      </w:tr>
      <w:tr>
        <w:trPr>
          <w:cantSplit/>
        </w:trPr>
        <w:tc>
          <w:tcPr>
            <w:tcW w:type="dxa" w:w="1300"/>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0:50–0:58</w:t>
            </w:r>
          </w:p>
        </w:tc>
        <w:tc>
          <w:tcPr>
            <w:tcW w:type="dxa" w:w="4300"/>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Tap "Hantar kepada pembekal". HOLD 3 seconds on the message with the evidence link. Press Esc to close. Do not tap WhatsApp.</w:t>
            </w:r>
          </w:p>
        </w:tc>
        <w:tc>
          <w:tcPr>
            <w:tcW w:type="dxa" w:w="4306"/>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"A factual WhatsApp message with an evidence link. I tap send myself."</w:t>
            </w:r>
          </w:p>
        </w:tc>
      </w:tr>
      <w:tr>
        <w:trPr>
          <w:cantSplit/>
        </w:trPr>
        <w:tc>
          <w:tcPr>
            <w:tcW w:type="dxa" w:w="1300"/>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0:58–1:06</w:t>
            </w:r>
          </w:p>
        </w:tc>
        <w:tc>
          <w:tcPr>
            <w:tcW w:type="dxa" w:w="4300"/>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Tap "Lihat bukti" (opens in a new tab). HOLD 4 seconds on the highlighted Maggi line and the signed bon.</w:t>
            </w:r>
          </w:p>
        </w:tc>
        <w:tc>
          <w:tcPr>
            <w:tcW w:type="dxa" w:w="4306"/>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"The supplier sees the proof, with no login."</w:t>
            </w:r>
          </w:p>
        </w:tc>
      </w:tr>
      <w:tr>
        <w:trPr>
          <w:cantSplit/>
        </w:trPr>
        <w:tc>
          <w:tcPr>
            <w:tcW w:type="dxa" w:w="1300"/>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1:06–1:10</w:t>
            </w:r>
          </w:p>
        </w:tc>
        <w:tc>
          <w:tcPr>
            <w:tcW w:type="dxa" w:w="4300"/>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Hold on the evidence page.</w:t>
            </w:r>
          </w:p>
        </w:tc>
        <w:tc>
          <w:tcPr>
            <w:tcW w:type="dxa" w:w="4306"/>
            <w:tcBorders>
              <w:top w:val="single" w:color="BFC5D2" w:sz="4"/>
              <w:left w:val="single" w:color="BFC5D2" w:sz="4"/>
              <w:bottom w:val="single" w:color="BFC5D2" w:sz="4"/>
              <w:right w:val="single" w:color="BFC5D2" w:sz="4"/>
            </w:tcBorders>
            <w:tcMar>
              <w:top w:type="dxa" w:w="80"/>
              <w:left w:type="dxa" w:w="110"/>
              <w:bottom w:type="dxa" w:w="80"/>
              <w:right w:type="dxa" w:w="110"/>
            </w:tcMar>
          </w:tcPr>
          <w:p>
            <w:pPr>
              <w:spacing w:after="40"/>
            </w:pPr>
            <w:r>
              <w:rPr>
                <w:b w:val="false"/>
                <w:bCs w:val="false"/>
                <w:sz w:val="21"/>
                <w:szCs w:val="21"/>
              </w:rPr>
              <w:t xml:space="preserve">"Manager counts. Owner approves. Supplier sees proof. Tepat Bill."</w:t>
            </w:r>
          </w:p>
        </w:tc>
      </w:tr>
    </w:tbl>
    <w:p>
      <w:pPr>
        <w:spacing w:after="100"/>
      </w:pPr>
      <w:r>
        <w:rPr>
          <w:sz w:val="22"/>
          <w:szCs w:val="22"/>
        </w:rPr>
        <w:t xml:space="preserve"/>
      </w:r>
    </w:p>
    <w:p>
      <w:pPr>
        <w:spacing w:after="100"/>
      </w:pPr>
      <w:r>
        <w:rPr>
          <w:i/>
          <w:iCs/>
          <w:sz w:val="22"/>
          <w:szCs w:val="22"/>
        </w:rPr>
        <w:t xml:space="preserve">Pace: speak calmly, about 110 words in total. A raw take of the manager side can run 10 to 15 seconds over: trim the waits and loading seconds in the edit rather than speaking faster. Tap once per action and keep the cursor still between taps. Speak over the pauses, not during the loading seconds.</w:t>
      </w:r>
    </w:p>
    <w:p>
      <w:pPr>
        <w:pStyle w:val="Heading1"/>
        <w:spacing w:after="120" w:before="280"/>
      </w:pPr>
      <w:r>
        <w:t xml:space="preserve">Buffers already built in</w:t>
      </w:r>
    </w:p>
    <w:p>
      <w:pPr>
        <w:pStyle w:val="ListParagraph"/>
        <w:numPr>
          <w:ilvl w:val="0"/>
          <w:numId w:val="2"/>
        </w:numPr>
        <w:spacing w:after="60"/>
      </w:pPr>
      <w:r>
        <w:rPr>
          <w:sz w:val="22"/>
          <w:szCs w:val="22"/>
        </w:rPr>
        <w:t xml:space="preserve">A 1-second hold after each AI read, so the viewer can see what Gemini found.</w:t>
      </w:r>
    </w:p>
    <w:p>
      <w:pPr>
        <w:pStyle w:val="ListParagraph"/>
        <w:numPr>
          <w:ilvl w:val="0"/>
          <w:numId w:val="2"/>
        </w:numPr>
        <w:spacing w:after="60"/>
      </w:pPr>
      <w:r>
        <w:rPr>
          <w:sz w:val="22"/>
          <w:szCs w:val="22"/>
        </w:rPr>
        <w:t xml:space="preserve">4 seconds on the RM90 result (the key moment of the Manager side).</w:t>
      </w:r>
    </w:p>
    <w:p>
      <w:pPr>
        <w:pStyle w:val="ListParagraph"/>
        <w:numPr>
          <w:ilvl w:val="0"/>
          <w:numId w:val="2"/>
        </w:numPr>
        <w:spacing w:after="60"/>
      </w:pPr>
      <w:r>
        <w:rPr>
          <w:sz w:val="22"/>
          <w:szCs w:val="22"/>
        </w:rPr>
        <w:t xml:space="preserve">3 seconds on the WhatsApp message and evidence link.</w:t>
      </w:r>
    </w:p>
    <w:p>
      <w:pPr>
        <w:pStyle w:val="ListParagraph"/>
        <w:numPr>
          <w:ilvl w:val="0"/>
          <w:numId w:val="2"/>
        </w:numPr>
        <w:spacing w:after="60"/>
      </w:pPr>
      <w:r>
        <w:rPr>
          <w:sz w:val="22"/>
          <w:szCs w:val="22"/>
        </w:rPr>
        <w:t xml:space="preserve">4 seconds on the evidence page, then a 4-second closing line.</w:t>
      </w:r>
    </w:p>
    <w:p>
      <w:pPr>
        <w:pStyle w:val="Heading1"/>
        <w:spacing w:after="120" w:before="280"/>
      </w:pPr>
      <w:r>
        <w:t xml:space="preserve">Tips</w:t>
      </w:r>
    </w:p>
    <w:p>
      <w:pPr>
        <w:pStyle w:val="ListParagraph"/>
        <w:numPr>
          <w:ilvl w:val="0"/>
          <w:numId w:val="2"/>
        </w:numPr>
        <w:spacing w:after="60"/>
      </w:pPr>
      <w:r>
        <w:rPr>
          <w:sz w:val="22"/>
          <w:szCs w:val="22"/>
        </w:rPr>
        <w:t xml:space="preserve">Rehearse once with a stopwatch before the real take. If a step stumbles, cut it in the edit rather than explaining it on camera.</w:t>
      </w:r>
    </w:p>
    <w:p>
      <w:pPr>
        <w:pStyle w:val="ListParagraph"/>
        <w:numPr>
          <w:ilvl w:val="0"/>
          <w:numId w:val="2"/>
        </w:numPr>
        <w:spacing w:after="60"/>
      </w:pPr>
      <w:r>
        <w:rPr>
          <w:sz w:val="22"/>
          <w:szCs w:val="22"/>
        </w:rPr>
        <w:t xml:space="preserve">If you run long, shorten only the opening line to "Tepat Bill catches wrong deliveries before a shop pays." Do not skip the RM90 and evidence holds.</w:t>
      </w:r>
    </w:p>
    <w:p>
      <w:pPr>
        <w:pStyle w:val="ListParagraph"/>
        <w:numPr>
          <w:ilvl w:val="0"/>
          <w:numId w:val="2"/>
        </w:numPr>
        <w:spacing w:after="60"/>
      </w:pPr>
      <w:r>
        <w:rPr>
          <w:sz w:val="22"/>
          <w:szCs w:val="22"/>
        </w:rPr>
        <w:t xml:space="preserve">Do not tap "Buka WhatsApp": it opens another tab and breaks the flow. If you want it shown, record a separate 2-second clip.</w:t>
      </w:r>
    </w:p>
    <w:p>
      <w:pPr>
        <w:pStyle w:val="ListParagraph"/>
        <w:numPr>
          <w:ilvl w:val="0"/>
          <w:numId w:val="2"/>
        </w:numPr>
        <w:spacing w:after="60"/>
      </w:pPr>
      <w:r>
        <w:rPr>
          <w:sz w:val="22"/>
          <w:szCs w:val="22"/>
        </w:rPr>
        <w:t xml:space="preserve">"Lihat bukti" opens the evidence page in a new tab: allow a couple of seconds for the tab switch.</w:t>
      </w:r>
    </w:p>
    <w:p>
      <w:pPr>
        <w:pStyle w:val="Heading1"/>
        <w:spacing w:after="120" w:before="280"/>
      </w:pPr>
      <w:r>
        <w:t xml:space="preserve">What each screen proves (for the judges)</w:t>
      </w:r>
    </w:p>
    <w:p>
      <w:pPr>
        <w:pStyle w:val="ListParagraph"/>
        <w:numPr>
          <w:ilvl w:val="0"/>
          <w:numId w:val="2"/>
        </w:numPr>
        <w:spacing w:after="60"/>
      </w:pPr>
      <w:r>
        <w:rPr>
          <w:sz w:val="22"/>
          <w:szCs w:val="22"/>
        </w:rPr>
        <w:t xml:space="preserve">Manager: scan the order and the signed delivery bon, Gemini reads them, the manager types only what arrived, and the app calculates the shortage in exact RM.</w:t>
      </w:r>
    </w:p>
    <w:p>
      <w:pPr>
        <w:pStyle w:val="ListParagraph"/>
        <w:numPr>
          <w:ilvl w:val="0"/>
          <w:numId w:val="2"/>
        </w:numPr>
        <w:spacing w:after="60"/>
      </w:pPr>
      <w:r>
        <w:rPr>
          <w:sz w:val="22"/>
          <w:szCs w:val="22"/>
        </w:rPr>
        <w:t xml:space="preserve">Owner: reviews the flag, approves it, sends a factual WhatsApp message with an evidence link. Nothing goes out without the owner.</w:t>
      </w:r>
    </w:p>
    <w:p>
      <w:pPr>
        <w:pStyle w:val="ListParagraph"/>
        <w:numPr>
          <w:ilvl w:val="0"/>
          <w:numId w:val="2"/>
        </w:numPr>
        <w:spacing w:after="60"/>
      </w:pPr>
      <w:r>
        <w:rPr>
          <w:sz w:val="22"/>
          <w:szCs w:val="22"/>
        </w:rPr>
        <w:t xml:space="preserve">Supplier: opens a read-only evidence page (the bon with the shortage line highlighted) with no login.</w:t>
      </w:r>
    </w:p>
    <w:p>
      <w:pPr>
        <w:pStyle w:val="Heading1"/>
        <w:spacing w:after="120" w:before="280"/>
      </w:pPr>
      <w:r>
        <w:t xml:space="preserve">Notes</w:t>
      </w:r>
    </w:p>
    <w:p>
      <w:pPr>
        <w:spacing w:after="100"/>
      </w:pPr>
      <w:r>
        <w:rPr>
          <w:color w:val="555555"/>
          <w:sz w:val="22"/>
          <w:szCs w:val="22"/>
        </w:rPr>
        <w:t xml:space="preserve">Every step and label in this script was tested on a local build of the app by two independent checks. All demo documents are synthetic. Opening WhatsApp means a draft was opened, not that a message was delivered.</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B2A4A"/>
      <w:sz w:val="30"/>
      <w:szCs w:val="30"/>
    </w:rPr>
  </w:style>
  <w:style w:type="paragraph" w:styleId="Heading2">
    <w:name w:val="Heading 2"/>
    <w:basedOn w:val="Normal"/>
    <w:next w:val="Normal"/>
    <w:qFormat/>
    <w:pPr>
      <w:outlineLvl w:val="1"/>
    </w:pPr>
    <w:rPr>
      <w:b/>
      <w:bCs/>
      <w:color w:val="2457D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Tepat Bill demo video script</dc:title>
  <dc:creator>Alt + Win + R</dc:creator>
  <cp:lastModifiedBy>Un-named</cp:lastModifiedBy>
  <cp:revision>1</cp:revision>
  <dcterms:created xsi:type="dcterms:W3CDTF">2026-10-24T19:00:58.620Z</dcterms:created>
  <dcterms:modified xsi:type="dcterms:W3CDTF">2026-10-24T19:00:58.620Z</dcterms:modified>
</cp:coreProperties>
</file>

<file path=docProps/custom.xml><?xml version="1.0" encoding="utf-8"?>
<Properties xmlns="http://schemas.openxmlformats.org/officeDocument/2006/custom-properties" xmlns:vt="http://schemas.openxmlformats.org/officeDocument/2006/docPropsVTypes"/>
</file>