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AirNavX Modular Architecture</w:t>
      </w:r>
    </w:p>
    <w:p>
      <w:pPr>
        <w:jc w:val="center"/>
      </w:pPr>
      <w:r>
        <w:rPr>
          <w:color w:val="4472C4"/>
          <w:sz w:val="32"/>
        </w:rPr>
        <w:t>Evaluation of Available Approaches and Recommendation for Local Swift Packages</w:t>
      </w:r>
    </w:p>
    <w:p>
      <w:pPr>
        <w:spacing w:before="600"/>
        <w:jc w:val="center"/>
      </w:pPr>
      <w:r>
        <w:rPr>
          <w:sz w:val="22"/>
        </w:rPr>
        <w:t>Scope: Manual Viewer, SVG Renderer, 3D Model Renderer and future AirNavX capabilities</w:t>
      </w:r>
    </w:p>
    <w:p>
      <w:pPr>
        <w:spacing w:before="2200"/>
        <w:jc w:val="center"/>
      </w:pPr>
      <w:r>
        <w:rPr>
          <w:b/>
          <w:color w:val="595959"/>
          <w:sz w:val="22"/>
        </w:rPr>
        <w:t>Architecture discussion document</w:t>
      </w:r>
    </w:p>
    <w:p>
      <w:pPr>
        <w:jc w:val="center"/>
      </w:pPr>
      <w:r>
        <w:rPr>
          <w:sz w:val="20"/>
        </w:rPr>
        <w:t>Prepared for AirNavX project planning</w:t>
      </w:r>
    </w:p>
    <w:p>
      <w:r>
        <w:br w:type="page"/>
      </w:r>
    </w:p>
    <w:p>
      <w:pPr>
        <w:pStyle w:val="Heading1"/>
      </w:pPr>
      <w:r>
        <w:t>1. Executive Summary</w:t>
      </w:r>
    </w:p>
    <w:p>
      <w:r>
        <w:t>AirNavX contains multiple high-complexity capabilities, including offline manuals, HTML content, TOC and search, SVG/WebCGM illustrations, IPC hotspot synchronization, aircraft applicability and future 3D content. These capabilities should be separated by business responsibility rather than kept as one large application target.</w:t>
      </w:r>
    </w:p>
    <w:p>
      <w:pPr>
        <w:pStyle w:val="Callout"/>
      </w:pPr>
      <w:r>
        <w:t>Recommended direction:</w:t>
      </w:r>
      <w:r>
        <w:t>Use Local Swift Packages for major AirNavX capabilities, with a gradual migration starting from SVG Renderer, followed by 3D Model Renderer and Manual Viewer. Keep package-level unit tests close to each module and retain app-level XCUITests for critical end-to-end journeys.</w:t>
      </w:r>
    </w:p>
    <w:p>
      <w:pPr>
        <w:pStyle w:val="Heading2"/>
      </w:pPr>
      <w:r>
        <w:t>Decision statement</w:t>
      </w:r>
    </w:p>
    <w:p>
      <w:r>
        <w:t>Local Swift Packages provide the best balance of modularity, compile-time boundaries, test ownership, Xcode integration, incremental adoption and low operational overhead for an iPad-first native SwiftUI application. They reduce regression scope by isolating implementation changes behind stable public interfaces. They do not eliminate integration or smoke testing.</w:t>
      </w:r>
    </w:p>
    <w:p>
      <w:pPr>
        <w:pStyle w:val="Heading2"/>
      </w:pPr>
      <w:r>
        <w:t>Key expected outcomes</w:t>
      </w:r>
    </w:p>
    <w:p>
      <w:pPr>
        <w:pStyle w:val="ListBullet"/>
      </w:pPr>
      <w:r>
        <w:t>Clear ownership for Manual Viewer, SVG Renderer, 3D Model Renderer and other capabilities.</w:t>
      </w:r>
    </w:p>
    <w:p>
      <w:pPr>
        <w:pStyle w:val="ListBullet"/>
      </w:pPr>
      <w:r>
        <w:t>Smaller public interfaces and reduced cross-module coupling.</w:t>
      </w:r>
    </w:p>
    <w:p>
      <w:pPr>
        <w:pStyle w:val="ListBullet"/>
      </w:pPr>
      <w:r>
        <w:t>Package-level unit testing and focused integration testing.</w:t>
      </w:r>
    </w:p>
    <w:p>
      <w:pPr>
        <w:pStyle w:val="ListBullet"/>
      </w:pPr>
      <w:r>
        <w:t>Change-impact-based CI execution rather than indiscriminate full manual regression.</w:t>
      </w:r>
    </w:p>
    <w:p>
      <w:pPr>
        <w:pStyle w:val="ListBullet"/>
      </w:pPr>
      <w:r>
        <w:t>Ability to add future renderers or modules without restructuring the complete application.</w:t>
      </w:r>
    </w:p>
    <w:p>
      <w:pPr>
        <w:pStyle w:val="Heading1"/>
      </w:pPr>
      <w:r>
        <w:t>2. AirNavX Context and Architecture Goal</w:t>
      </w:r>
    </w:p>
    <w:p>
      <w:r>
        <w:t>The existing AirNavX technology evaluation describes the product as more than a viewer. It includes offline package handling, aircraft context and applicability, content navigation, HTML rendering, illustrations, IPC synchronization and enterprise controls. The modularization strategy should therefore follow these capability boundaries.</w:t>
      </w:r>
    </w:p>
    <w:p>
      <w:pPr>
        <w:pStyle w:val="Heading2"/>
      </w:pPr>
      <w:r>
        <w:t>Proposed capability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rFonts w:ascii="Aptos" w:hAnsi="Aptos"/>
                <w:b/>
                <w:color w:val="FFFFFF"/>
                <w:sz w:val="18"/>
              </w:rPr>
              <w:t>Module</w:t>
            </w:r>
          </w:p>
        </w:tc>
        <w:tc>
          <w:tcPr>
            <w:tcW w:type="dxa" w:w="3408"/>
            <w:vAlign w:val="center"/>
            <w:shd w:fill="2F5597"/>
          </w:tcPr>
          <w:p>
            <w:r/>
            <w:r>
              <w:rPr>
                <w:rFonts w:ascii="Aptos" w:hAnsi="Aptos"/>
                <w:b/>
                <w:color w:val="FFFFFF"/>
                <w:sz w:val="18"/>
              </w:rPr>
              <w:t>Primary responsibility</w:t>
            </w:r>
          </w:p>
        </w:tc>
        <w:tc>
          <w:tcPr>
            <w:tcW w:type="dxa" w:w="3408"/>
            <w:vAlign w:val="center"/>
            <w:shd w:fill="2F5597"/>
          </w:tcPr>
          <w:p>
            <w:r/>
            <w:r>
              <w:rPr>
                <w:rFonts w:ascii="Aptos" w:hAnsi="Aptos"/>
                <w:b/>
                <w:color w:val="FFFFFF"/>
                <w:sz w:val="18"/>
              </w:rPr>
              <w:t>Typical internal components</w:t>
            </w:r>
          </w:p>
        </w:tc>
      </w:tr>
      <w:tr>
        <w:tc>
          <w:tcPr>
            <w:tcW w:type="dxa" w:w="3408"/>
            <w:vAlign w:val="center"/>
          </w:tcPr>
          <w:p>
            <w:r/>
            <w:r>
              <w:rPr>
                <w:rFonts w:ascii="Aptos" w:hAnsi="Aptos"/>
                <w:b w:val="0"/>
                <w:sz w:val="16"/>
              </w:rPr>
              <w:t>Manual Viewer</w:t>
            </w:r>
          </w:p>
        </w:tc>
        <w:tc>
          <w:tcPr>
            <w:tcW w:type="dxa" w:w="3408"/>
            <w:vAlign w:val="center"/>
          </w:tcPr>
          <w:p>
            <w:r/>
            <w:r>
              <w:rPr>
                <w:rFonts w:ascii="Aptos" w:hAnsi="Aptos"/>
                <w:b w:val="0"/>
                <w:sz w:val="16"/>
              </w:rPr>
              <w:t>Coordinates content display and navigation</w:t>
            </w:r>
          </w:p>
        </w:tc>
        <w:tc>
          <w:tcPr>
            <w:tcW w:type="dxa" w:w="3408"/>
            <w:vAlign w:val="center"/>
          </w:tcPr>
          <w:p>
            <w:r/>
            <w:r>
              <w:rPr>
                <w:rFonts w:ascii="Aptos" w:hAnsi="Aptos"/>
                <w:b w:val="0"/>
                <w:sz w:val="16"/>
              </w:rPr>
              <w:t>Viewer state, content routing, history, toolbar actions</w:t>
            </w:r>
          </w:p>
        </w:tc>
      </w:tr>
      <w:tr>
        <w:tc>
          <w:tcPr>
            <w:tcW w:type="dxa" w:w="3408"/>
            <w:vAlign w:val="center"/>
          </w:tcPr>
          <w:p>
            <w:r/>
            <w:r>
              <w:rPr>
                <w:rFonts w:ascii="Aptos" w:hAnsi="Aptos"/>
                <w:b w:val="0"/>
                <w:sz w:val="16"/>
              </w:rPr>
              <w:t>SVG Renderer</w:t>
            </w:r>
          </w:p>
        </w:tc>
        <w:tc>
          <w:tcPr>
            <w:tcW w:type="dxa" w:w="3408"/>
            <w:vAlign w:val="center"/>
          </w:tcPr>
          <w:p>
            <w:r/>
            <w:r>
              <w:rPr>
                <w:rFonts w:ascii="Aptos" w:hAnsi="Aptos"/>
                <w:b w:val="0"/>
                <w:sz w:val="16"/>
              </w:rPr>
              <w:t>Displays and interacts with SVG illustrations</w:t>
            </w:r>
          </w:p>
        </w:tc>
        <w:tc>
          <w:tcPr>
            <w:tcW w:type="dxa" w:w="3408"/>
            <w:vAlign w:val="center"/>
          </w:tcPr>
          <w:p>
            <w:r/>
            <w:r>
              <w:rPr>
                <w:rFonts w:ascii="Aptos" w:hAnsi="Aptos"/>
                <w:b w:val="0"/>
                <w:sz w:val="16"/>
              </w:rPr>
              <w:t>Parsing/loading, zoom/pan, hotspots, highlight state</w:t>
            </w:r>
          </w:p>
        </w:tc>
      </w:tr>
      <w:tr>
        <w:tc>
          <w:tcPr>
            <w:tcW w:type="dxa" w:w="3408"/>
            <w:vAlign w:val="center"/>
          </w:tcPr>
          <w:p>
            <w:r/>
            <w:r>
              <w:rPr>
                <w:rFonts w:ascii="Aptos" w:hAnsi="Aptos"/>
                <w:b w:val="0"/>
                <w:sz w:val="16"/>
              </w:rPr>
              <w:t>3D Model Renderer</w:t>
            </w:r>
          </w:p>
        </w:tc>
        <w:tc>
          <w:tcPr>
            <w:tcW w:type="dxa" w:w="3408"/>
            <w:vAlign w:val="center"/>
          </w:tcPr>
          <w:p>
            <w:r/>
            <w:r>
              <w:rPr>
                <w:rFonts w:ascii="Aptos" w:hAnsi="Aptos"/>
                <w:b w:val="0"/>
                <w:sz w:val="16"/>
              </w:rPr>
              <w:t>Displays and interacts with 3D assets</w:t>
            </w:r>
          </w:p>
        </w:tc>
        <w:tc>
          <w:tcPr>
            <w:tcW w:type="dxa" w:w="3408"/>
            <w:vAlign w:val="center"/>
          </w:tcPr>
          <w:p>
            <w:r/>
            <w:r>
              <w:rPr>
                <w:rFonts w:ascii="Aptos" w:hAnsi="Aptos"/>
                <w:b w:val="0"/>
                <w:sz w:val="16"/>
              </w:rPr>
              <w:t>Model loading, camera controls, component selection</w:t>
            </w:r>
          </w:p>
        </w:tc>
      </w:tr>
      <w:tr>
        <w:tc>
          <w:tcPr>
            <w:tcW w:type="dxa" w:w="3408"/>
            <w:vAlign w:val="center"/>
          </w:tcPr>
          <w:p>
            <w:r/>
            <w:r>
              <w:rPr>
                <w:rFonts w:ascii="Aptos" w:hAnsi="Aptos"/>
                <w:b w:val="0"/>
                <w:sz w:val="16"/>
              </w:rPr>
              <w:t>HTML Renderer</w:t>
            </w:r>
          </w:p>
        </w:tc>
        <w:tc>
          <w:tcPr>
            <w:tcW w:type="dxa" w:w="3408"/>
            <w:vAlign w:val="center"/>
          </w:tcPr>
          <w:p>
            <w:r/>
            <w:r>
              <w:rPr>
                <w:rFonts w:ascii="Aptos" w:hAnsi="Aptos"/>
                <w:b w:val="0"/>
                <w:sz w:val="16"/>
              </w:rPr>
              <w:t>Displays manual HTML content</w:t>
            </w:r>
          </w:p>
        </w:tc>
        <w:tc>
          <w:tcPr>
            <w:tcW w:type="dxa" w:w="3408"/>
            <w:vAlign w:val="center"/>
          </w:tcPr>
          <w:p>
            <w:r/>
            <w:r>
              <w:rPr>
                <w:rFonts w:ascii="Aptos" w:hAnsi="Aptos"/>
                <w:b w:val="0"/>
                <w:sz w:val="16"/>
              </w:rPr>
              <w:t>WKWebView, JavaScript bridge, scheme and link interception</w:t>
            </w:r>
          </w:p>
        </w:tc>
      </w:tr>
      <w:tr>
        <w:tc>
          <w:tcPr>
            <w:tcW w:type="dxa" w:w="3408"/>
            <w:vAlign w:val="center"/>
          </w:tcPr>
          <w:p>
            <w:r/>
            <w:r>
              <w:rPr>
                <w:rFonts w:ascii="Aptos" w:hAnsi="Aptos"/>
                <w:b w:val="0"/>
                <w:sz w:val="16"/>
              </w:rPr>
              <w:t>Offline Content</w:t>
            </w:r>
          </w:p>
        </w:tc>
        <w:tc>
          <w:tcPr>
            <w:tcW w:type="dxa" w:w="3408"/>
            <w:vAlign w:val="center"/>
          </w:tcPr>
          <w:p>
            <w:r/>
            <w:r>
              <w:rPr>
                <w:rFonts w:ascii="Aptos" w:hAnsi="Aptos"/>
                <w:b w:val="0"/>
                <w:sz w:val="16"/>
              </w:rPr>
              <w:t>Owns local package lifecycle</w:t>
            </w:r>
          </w:p>
        </w:tc>
        <w:tc>
          <w:tcPr>
            <w:tcW w:type="dxa" w:w="3408"/>
            <w:vAlign w:val="center"/>
          </w:tcPr>
          <w:p>
            <w:r/>
            <w:r>
              <w:rPr>
                <w:rFonts w:ascii="Aptos" w:hAnsi="Aptos"/>
                <w:b w:val="0"/>
                <w:sz w:val="16"/>
              </w:rPr>
              <w:t>Validation, extraction, local files, revision handling</w:t>
            </w:r>
          </w:p>
        </w:tc>
      </w:tr>
      <w:tr>
        <w:tc>
          <w:tcPr>
            <w:tcW w:type="dxa" w:w="3408"/>
            <w:vAlign w:val="center"/>
          </w:tcPr>
          <w:p>
            <w:r/>
            <w:r>
              <w:rPr>
                <w:rFonts w:ascii="Aptos" w:hAnsi="Aptos"/>
                <w:b w:val="0"/>
                <w:sz w:val="16"/>
              </w:rPr>
              <w:t>TOC and Search</w:t>
            </w:r>
          </w:p>
        </w:tc>
        <w:tc>
          <w:tcPr>
            <w:tcW w:type="dxa" w:w="3408"/>
            <w:vAlign w:val="center"/>
          </w:tcPr>
          <w:p>
            <w:r/>
            <w:r>
              <w:rPr>
                <w:rFonts w:ascii="Aptos" w:hAnsi="Aptos"/>
                <w:b w:val="0"/>
                <w:sz w:val="16"/>
              </w:rPr>
              <w:t>Provides navigation and discovery</w:t>
            </w:r>
          </w:p>
        </w:tc>
        <w:tc>
          <w:tcPr>
            <w:tcW w:type="dxa" w:w="3408"/>
            <w:vAlign w:val="center"/>
          </w:tcPr>
          <w:p>
            <w:r/>
            <w:r>
              <w:rPr>
                <w:rFonts w:ascii="Aptos" w:hAnsi="Aptos"/>
                <w:b w:val="0"/>
                <w:sz w:val="16"/>
              </w:rPr>
              <w:t>TOC models, indexing, search results, cross-reference resolution</w:t>
            </w:r>
          </w:p>
        </w:tc>
      </w:tr>
      <w:tr>
        <w:tc>
          <w:tcPr>
            <w:tcW w:type="dxa" w:w="3408"/>
            <w:vAlign w:val="center"/>
          </w:tcPr>
          <w:p>
            <w:r/>
            <w:r>
              <w:rPr>
                <w:rFonts w:ascii="Aptos" w:hAnsi="Aptos"/>
                <w:b w:val="0"/>
                <w:sz w:val="16"/>
              </w:rPr>
              <w:t>Aircraft Context</w:t>
            </w:r>
          </w:p>
        </w:tc>
        <w:tc>
          <w:tcPr>
            <w:tcW w:type="dxa" w:w="3408"/>
            <w:vAlign w:val="center"/>
          </w:tcPr>
          <w:p>
            <w:r/>
            <w:r>
              <w:rPr>
                <w:rFonts w:ascii="Aptos" w:hAnsi="Aptos"/>
                <w:b w:val="0"/>
                <w:sz w:val="16"/>
              </w:rPr>
              <w:t>Maintains aircraft selection and applicability</w:t>
            </w:r>
          </w:p>
        </w:tc>
        <w:tc>
          <w:tcPr>
            <w:tcW w:type="dxa" w:w="3408"/>
            <w:vAlign w:val="center"/>
          </w:tcPr>
          <w:p>
            <w:r/>
            <w:r>
              <w:rPr>
                <w:rFonts w:ascii="Aptos" w:hAnsi="Aptos"/>
                <w:b w:val="0"/>
                <w:sz w:val="16"/>
              </w:rPr>
              <w:t>Tail/MSN context, configuration, applicability rules</w:t>
            </w:r>
          </w:p>
        </w:tc>
      </w:tr>
    </w:tbl>
    <w:p>
      <w:pPr>
        <w:pStyle w:val="Callout"/>
      </w:pPr>
      <w:r>
        <w:t>Architecture goal:</w:t>
      </w:r>
      <w:r>
        <w:t>Each module should be independently understandable and testable, expose only the API needed by consumers, and depend in one direction toward shared contracts or narrowly scoped shared utilities.</w:t>
      </w:r>
    </w:p>
    <w:p>
      <w:pPr>
        <w:pStyle w:val="Heading1"/>
      </w:pPr>
      <w:r>
        <w:t>3. Available Implementation Approaches</w:t>
      </w:r>
    </w:p>
    <w:p>
      <w:pPr>
        <w:pStyle w:val="Heading2"/>
      </w:pPr>
      <w:r>
        <w:t>Approach A: Feature folders inside one app target</w:t>
      </w:r>
    </w:p>
    <w:p>
      <w:r>
        <w:t>All source code remains in the AirNavX application target but is organized into folders such as Features/ManualViewer, Features/SVGRenderer and Features/Model3DRenderer.</w:t>
      </w:r>
    </w:p>
    <w:p>
      <w:pPr>
        <w:pStyle w:val="ListBullet"/>
      </w:pPr>
      <w:r>
        <w:t>Fastest to begin and easiest for a team new to modularization.</w:t>
      </w:r>
    </w:p>
    <w:p>
      <w:pPr>
        <w:pStyle w:val="ListBullet"/>
      </w:pPr>
      <w:r>
        <w:t>No package manifest or additional target configuration.</w:t>
      </w:r>
    </w:p>
    <w:p>
      <w:pPr>
        <w:pStyle w:val="ListBullet"/>
      </w:pPr>
      <w:r>
        <w:t>Useful as a temporary preparation step before extraction.</w:t>
      </w:r>
    </w:p>
    <w:p>
      <w:pPr>
        <w:pStyle w:val="Callout"/>
      </w:pPr>
      <w:r>
        <w:t>Limitations:</w:t>
      </w:r>
    </w:p>
    <w:p>
      <w:pPr>
        <w:pStyle w:val="ListBullet"/>
      </w:pPr>
      <w:r>
        <w:t>Folder boundaries are conventions only; unrelated features can still import or call each other freely.</w:t>
      </w:r>
    </w:p>
    <w:p>
      <w:pPr>
        <w:pStyle w:val="ListBullet"/>
      </w:pPr>
      <w:r>
        <w:t>A change may cause the entire app target to compile.</w:t>
      </w:r>
    </w:p>
    <w:p>
      <w:pPr>
        <w:pStyle w:val="ListBullet"/>
      </w:pPr>
      <w:r>
        <w:t>Unit-test ownership and dependency rules are harder to enforce.</w:t>
      </w:r>
    </w:p>
    <w:p>
      <w:pPr>
        <w:pStyle w:val="Heading2"/>
      </w:pPr>
      <w:r>
        <w:t>Approach B: Multiple Xcode framework targets</w:t>
      </w:r>
    </w:p>
    <w:p>
      <w:r>
        <w:t>Each capability is implemented as a framework target inside the Xcode project or workspace, for example SVGRenderer.framework and Model3DRenderer.framework.</w:t>
      </w:r>
    </w:p>
    <w:p>
      <w:pPr>
        <w:pStyle w:val="ListBullet"/>
      </w:pPr>
      <w:r>
        <w:t>Strong module boundaries and explicit target dependencies.</w:t>
      </w:r>
    </w:p>
    <w:p>
      <w:pPr>
        <w:pStyle w:val="ListBullet"/>
      </w:pPr>
      <w:r>
        <w:t>Compatible with Objective-C exposure and framework-style distribution needs.</w:t>
      </w:r>
    </w:p>
    <w:p>
      <w:pPr>
        <w:pStyle w:val="ListBullet"/>
      </w:pPr>
      <w:r>
        <w:t>Separate unit-test targets can be attached to each framework.</w:t>
      </w:r>
    </w:p>
    <w:p>
      <w:pPr>
        <w:pStyle w:val="Callout"/>
      </w:pPr>
      <w:r>
        <w:t>Limitations:</w:t>
      </w:r>
    </w:p>
    <w:p>
      <w:pPr>
        <w:pStyle w:val="ListBullet"/>
      </w:pPr>
      <w:r>
        <w:t>More Xcode project and build-setting maintenance.</w:t>
      </w:r>
    </w:p>
    <w:p>
      <w:pPr>
        <w:pStyle w:val="ListBullet"/>
      </w:pPr>
      <w:r>
        <w:t>Target configuration, resources, signing and build phases can become harder to manage as module count grows.</w:t>
      </w:r>
    </w:p>
    <w:p>
      <w:pPr>
        <w:pStyle w:val="ListBullet"/>
      </w:pPr>
      <w:r>
        <w:t>Less lightweight than local packages for source-first internal modularization.</w:t>
      </w:r>
    </w:p>
    <w:p>
      <w:pPr>
        <w:pStyle w:val="Heading2"/>
      </w:pPr>
      <w:r>
        <w:t>Approach C: Local Swift Packages</w:t>
      </w:r>
    </w:p>
    <w:p>
      <w:r>
        <w:t>Major capabilities are implemented as source packages stored with the AirNavX repository and added to the app as local package dependencies. Apple describes local packages as a way to simplify maintenance, promote modularity and encourage reuse; Xcode supports creating packages, managing dependencies, resources and CI workflows.</w:t>
      </w:r>
    </w:p>
    <w:p>
      <w:pPr>
        <w:pStyle w:val="ListBullet"/>
      </w:pPr>
      <w:r>
        <w:t>Native Xcode and Swift Package Manager integration.</w:t>
      </w:r>
    </w:p>
    <w:p>
      <w:pPr>
        <w:pStyle w:val="ListBullet"/>
      </w:pPr>
      <w:r>
        <w:t>A package can own source code, resources and unit tests.</w:t>
      </w:r>
    </w:p>
    <w:p>
      <w:pPr>
        <w:pStyle w:val="ListBullet"/>
      </w:pPr>
      <w:r>
        <w:t>Public/internal access control creates a clear API boundary.</w:t>
      </w:r>
    </w:p>
    <w:p>
      <w:pPr>
        <w:pStyle w:val="ListBullet"/>
      </w:pPr>
      <w:r>
        <w:t>Can be introduced one module at a time without publishing externally.</w:t>
      </w:r>
    </w:p>
    <w:p>
      <w:pPr>
        <w:pStyle w:val="ListBullet"/>
      </w:pPr>
      <w:r>
        <w:t>Can later be moved to a separate repository or versioned if independent release becomes necessary.</w:t>
      </w:r>
    </w:p>
    <w:p>
      <w:pPr>
        <w:pStyle w:val="Callout"/>
      </w:pPr>
      <w:r>
        <w:t>Limitations:</w:t>
      </w:r>
    </w:p>
    <w:p>
      <w:pPr>
        <w:pStyle w:val="ListBullet"/>
      </w:pPr>
      <w:r>
        <w:t>The team must learn Package.swift, targets, products, resources and access control.</w:t>
      </w:r>
    </w:p>
    <w:p>
      <w:pPr>
        <w:pStyle w:val="ListBullet"/>
      </w:pPr>
      <w:r>
        <w:t>Poorly designed dependencies can still create a package graph that is difficult to maintain.</w:t>
      </w:r>
    </w:p>
    <w:p>
      <w:pPr>
        <w:pStyle w:val="ListBullet"/>
      </w:pPr>
      <w:r>
        <w:t>App-level UI testing remains necessary because packages alone do not validate the complete user journey.</w:t>
      </w:r>
    </w:p>
    <w:p>
      <w:pPr>
        <w:pStyle w:val="Heading2"/>
      </w:pPr>
      <w:r>
        <w:t>Approach D: Separate repositories with versioned Swift Packages</w:t>
      </w:r>
    </w:p>
    <w:p>
      <w:r>
        <w:t>Each module is maintained in its own Git repository and consumed by version or revision.</w:t>
      </w:r>
    </w:p>
    <w:p>
      <w:pPr>
        <w:pStyle w:val="ListBullet"/>
      </w:pPr>
      <w:r>
        <w:t>High ownership and release isolation.</w:t>
      </w:r>
    </w:p>
    <w:p>
      <w:pPr>
        <w:pStyle w:val="ListBullet"/>
      </w:pPr>
      <w:r>
        <w:t>Useful if modules are shared across multiple products or maintained by independent teams.</w:t>
      </w:r>
    </w:p>
    <w:p>
      <w:pPr>
        <w:pStyle w:val="ListBullet"/>
      </w:pPr>
      <w:r>
        <w:t>Version pinning can provide controlled adoption.</w:t>
      </w:r>
    </w:p>
    <w:p>
      <w:pPr>
        <w:pStyle w:val="Callout"/>
      </w:pPr>
      <w:r>
        <w:t>Limitations:</w:t>
      </w:r>
    </w:p>
    <w:p>
      <w:pPr>
        <w:pStyle w:val="ListBullet"/>
      </w:pPr>
      <w:r>
        <w:t>Repository, version and release coordination overhead.</w:t>
      </w:r>
    </w:p>
    <w:p>
      <w:pPr>
        <w:pStyle w:val="ListBullet"/>
      </w:pPr>
      <w:r>
        <w:t>Cross-module development and debugging can become slower.</w:t>
      </w:r>
    </w:p>
    <w:p>
      <w:pPr>
        <w:pStyle w:val="ListBullet"/>
      </w:pPr>
      <w:r>
        <w:t>Premature for AirNavX unless a module has a truly independent lifecycle or reuse requirement.</w:t>
      </w:r>
    </w:p>
    <w:p>
      <w:pPr>
        <w:pStyle w:val="Heading2"/>
      </w:pPr>
      <w:r>
        <w:t>Approach E: Binary XCFramework distribution</w:t>
      </w:r>
    </w:p>
    <w:p>
      <w:r>
        <w:t>A renderer is compiled and delivered as a binary XCFramework, potentially wrapped by a Swift Package.</w:t>
      </w:r>
    </w:p>
    <w:p>
      <w:pPr>
        <w:pStyle w:val="ListBullet"/>
      </w:pPr>
      <w:r>
        <w:t>Useful for proprietary third-party engines or when source code cannot be shared.</w:t>
      </w:r>
    </w:p>
    <w:p>
      <w:pPr>
        <w:pStyle w:val="ListBullet"/>
      </w:pPr>
      <w:r>
        <w:t>Can provide a stable binary boundary.</w:t>
      </w:r>
    </w:p>
    <w:p>
      <w:pPr>
        <w:pStyle w:val="Callout"/>
      </w:pPr>
      <w:r>
        <w:t>Limitations:</w:t>
      </w:r>
    </w:p>
    <w:p>
      <w:pPr>
        <w:pStyle w:val="ListBullet"/>
      </w:pPr>
      <w:r>
        <w:t>Harder debugging and slower internal iteration.</w:t>
      </w:r>
    </w:p>
    <w:p>
      <w:pPr>
        <w:pStyle w:val="ListBullet"/>
      </w:pPr>
      <w:r>
        <w:t>Binary compatibility, architecture support and release management become important.</w:t>
      </w:r>
    </w:p>
    <w:p>
      <w:pPr>
        <w:pStyle w:val="ListBullet"/>
      </w:pPr>
      <w:r>
        <w:t>Not recommended for AirNavX-owned source modules unless source protection or external distribution is required.</w:t>
      </w:r>
    </w:p>
    <w:p>
      <w:pPr>
        <w:pStyle w:val="Heading1"/>
      </w:pPr>
      <w:r>
        <w:t>4. Comparative Assessment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2F5597"/>
          </w:tcPr>
          <w:p>
            <w:r/>
            <w:r>
              <w:rPr>
                <w:rFonts w:ascii="Aptos" w:hAnsi="Aptos"/>
                <w:b/>
                <w:color w:val="FFFFFF"/>
                <w:sz w:val="16"/>
              </w:rPr>
              <w:t>Approach</w:t>
            </w:r>
          </w:p>
        </w:tc>
        <w:tc>
          <w:tcPr>
            <w:tcW w:type="dxa" w:w="1704"/>
            <w:vAlign w:val="center"/>
            <w:shd w:fill="2F5597"/>
          </w:tcPr>
          <w:p>
            <w:r/>
            <w:r>
              <w:rPr>
                <w:rFonts w:ascii="Aptos" w:hAnsi="Aptos"/>
                <w:b/>
                <w:color w:val="FFFFFF"/>
                <w:sz w:val="16"/>
              </w:rPr>
              <w:t>Boundary</w:t>
            </w:r>
          </w:p>
        </w:tc>
        <w:tc>
          <w:tcPr>
            <w:tcW w:type="dxa" w:w="1704"/>
            <w:vAlign w:val="center"/>
            <w:shd w:fill="2F5597"/>
          </w:tcPr>
          <w:p>
            <w:r/>
            <w:r>
              <w:rPr>
                <w:rFonts w:ascii="Aptos" w:hAnsi="Aptos"/>
                <w:b/>
                <w:color w:val="FFFFFF"/>
                <w:sz w:val="16"/>
              </w:rPr>
              <w:t>Test isolation</w:t>
            </w:r>
          </w:p>
        </w:tc>
        <w:tc>
          <w:tcPr>
            <w:tcW w:type="dxa" w:w="1704"/>
            <w:vAlign w:val="center"/>
            <w:shd w:fill="2F5597"/>
          </w:tcPr>
          <w:p>
            <w:r/>
            <w:r>
              <w:rPr>
                <w:rFonts w:ascii="Aptos" w:hAnsi="Aptos"/>
                <w:b/>
                <w:color w:val="FFFFFF"/>
                <w:sz w:val="16"/>
              </w:rPr>
              <w:t>Adoption</w:t>
            </w:r>
          </w:p>
        </w:tc>
        <w:tc>
          <w:tcPr>
            <w:tcW w:type="dxa" w:w="1704"/>
            <w:vAlign w:val="center"/>
            <w:shd w:fill="2F5597"/>
          </w:tcPr>
          <w:p>
            <w:r/>
            <w:r>
              <w:rPr>
                <w:rFonts w:ascii="Aptos" w:hAnsi="Aptos"/>
                <w:b/>
                <w:color w:val="FFFFFF"/>
                <w:sz w:val="16"/>
              </w:rPr>
              <w:t>Maintenance</w:t>
            </w:r>
          </w:p>
        </w:tc>
        <w:tc>
          <w:tcPr>
            <w:tcW w:type="dxa" w:w="1704"/>
            <w:vAlign w:val="center"/>
            <w:shd w:fill="2F5597"/>
          </w:tcPr>
          <w:p>
            <w:r/>
            <w:r>
              <w:rPr>
                <w:rFonts w:ascii="Aptos" w:hAnsi="Aptos"/>
                <w:b/>
                <w:color w:val="FFFFFF"/>
                <w:sz w:val="16"/>
              </w:rPr>
              <w:t>AirNavX fit</w:t>
            </w:r>
          </w:p>
        </w:tc>
      </w:tr>
      <w:tr>
        <w:tc>
          <w:tcPr>
            <w:tcW w:type="dxa" w:w="1704"/>
            <w:vAlign w:val="center"/>
          </w:tcPr>
          <w:p>
            <w:r/>
            <w:r>
              <w:rPr>
                <w:rFonts w:ascii="Aptos" w:hAnsi="Aptos"/>
                <w:b w:val="0"/>
                <w:sz w:val="15"/>
              </w:rPr>
              <w:t>Feature folders</w:t>
            </w:r>
          </w:p>
        </w:tc>
        <w:tc>
          <w:tcPr>
            <w:tcW w:type="dxa" w:w="1704"/>
            <w:vAlign w:val="center"/>
          </w:tcPr>
          <w:p>
            <w:r/>
            <w:r>
              <w:rPr>
                <w:rFonts w:ascii="Aptos" w:hAnsi="Aptos"/>
                <w:b w:val="0"/>
                <w:sz w:val="15"/>
              </w:rPr>
              <w:t>Low</w:t>
            </w:r>
          </w:p>
        </w:tc>
        <w:tc>
          <w:tcPr>
            <w:tcW w:type="dxa" w:w="1704"/>
            <w:vAlign w:val="center"/>
          </w:tcPr>
          <w:p>
            <w:r/>
            <w:r>
              <w:rPr>
                <w:rFonts w:ascii="Aptos" w:hAnsi="Aptos"/>
                <w:b w:val="0"/>
                <w:sz w:val="15"/>
              </w:rPr>
              <w:t>Low-Medium</w:t>
            </w:r>
          </w:p>
        </w:tc>
        <w:tc>
          <w:tcPr>
            <w:tcW w:type="dxa" w:w="1704"/>
            <w:vAlign w:val="center"/>
          </w:tcPr>
          <w:p>
            <w:r/>
            <w:r>
              <w:rPr>
                <w:rFonts w:ascii="Aptos" w:hAnsi="Aptos"/>
                <w:b w:val="0"/>
                <w:sz w:val="15"/>
              </w:rPr>
              <w:t>Easy</w:t>
            </w:r>
          </w:p>
        </w:tc>
        <w:tc>
          <w:tcPr>
            <w:tcW w:type="dxa" w:w="1704"/>
            <w:vAlign w:val="center"/>
          </w:tcPr>
          <w:p>
            <w:r/>
            <w:r>
              <w:rPr>
                <w:rFonts w:ascii="Aptos" w:hAnsi="Aptos"/>
                <w:b w:val="0"/>
                <w:sz w:val="15"/>
              </w:rPr>
              <w:t>Low initially</w:t>
            </w:r>
          </w:p>
        </w:tc>
        <w:tc>
          <w:tcPr>
            <w:tcW w:type="dxa" w:w="1704"/>
            <w:vAlign w:val="center"/>
          </w:tcPr>
          <w:p>
            <w:r/>
            <w:r>
              <w:rPr>
                <w:rFonts w:ascii="Aptos" w:hAnsi="Aptos"/>
                <w:b w:val="0"/>
                <w:sz w:val="15"/>
              </w:rPr>
              <w:t>Transitional</w:t>
            </w:r>
          </w:p>
        </w:tc>
      </w:tr>
      <w:tr>
        <w:tc>
          <w:tcPr>
            <w:tcW w:type="dxa" w:w="1704"/>
            <w:vAlign w:val="center"/>
          </w:tcPr>
          <w:p>
            <w:r/>
            <w:r>
              <w:rPr>
                <w:rFonts w:ascii="Aptos" w:hAnsi="Aptos"/>
                <w:b w:val="0"/>
                <w:sz w:val="15"/>
              </w:rPr>
              <w:t>Framework targets</w:t>
            </w:r>
          </w:p>
        </w:tc>
        <w:tc>
          <w:tcPr>
            <w:tcW w:type="dxa" w:w="1704"/>
            <w:vAlign w:val="center"/>
          </w:tcPr>
          <w:p>
            <w:r/>
            <w:r>
              <w:rPr>
                <w:rFonts w:ascii="Aptos" w:hAnsi="Aptos"/>
                <w:b w:val="0"/>
                <w:sz w:val="15"/>
              </w:rPr>
              <w:t>High</w:t>
            </w:r>
          </w:p>
        </w:tc>
        <w:tc>
          <w:tcPr>
            <w:tcW w:type="dxa" w:w="1704"/>
            <w:vAlign w:val="center"/>
          </w:tcPr>
          <w:p>
            <w:r/>
            <w:r>
              <w:rPr>
                <w:rFonts w:ascii="Aptos" w:hAnsi="Aptos"/>
                <w:b w:val="0"/>
                <w:sz w:val="15"/>
              </w:rPr>
              <w:t>High</w:t>
            </w:r>
          </w:p>
        </w:tc>
        <w:tc>
          <w:tcPr>
            <w:tcW w:type="dxa" w:w="1704"/>
            <w:vAlign w:val="center"/>
          </w:tcPr>
          <w:p>
            <w:r/>
            <w:r>
              <w:rPr>
                <w:rFonts w:ascii="Aptos" w:hAnsi="Aptos"/>
                <w:b w:val="0"/>
                <w:sz w:val="15"/>
              </w:rPr>
              <w:t>Medium</w:t>
            </w:r>
          </w:p>
        </w:tc>
        <w:tc>
          <w:tcPr>
            <w:tcW w:type="dxa" w:w="1704"/>
            <w:vAlign w:val="center"/>
          </w:tcPr>
          <w:p>
            <w:r/>
            <w:r>
              <w:rPr>
                <w:rFonts w:ascii="Aptos" w:hAnsi="Aptos"/>
                <w:b w:val="0"/>
                <w:sz w:val="15"/>
              </w:rPr>
              <w:t>Medium-High</w:t>
            </w:r>
          </w:p>
        </w:tc>
        <w:tc>
          <w:tcPr>
            <w:tcW w:type="dxa" w:w="1704"/>
            <w:vAlign w:val="center"/>
          </w:tcPr>
          <w:p>
            <w:r/>
            <w:r>
              <w:rPr>
                <w:rFonts w:ascii="Aptos" w:hAnsi="Aptos"/>
                <w:b w:val="0"/>
                <w:sz w:val="15"/>
              </w:rPr>
              <w:t>Good</w:t>
            </w:r>
          </w:p>
        </w:tc>
      </w:tr>
      <w:tr>
        <w:tc>
          <w:tcPr>
            <w:tcW w:type="dxa" w:w="1704"/>
            <w:vAlign w:val="center"/>
            <w:shd w:fill="E2F0D9"/>
          </w:tcPr>
          <w:p>
            <w:r/>
            <w:r>
              <w:rPr>
                <w:rFonts w:ascii="Aptos" w:hAnsi="Aptos"/>
                <w:b w:val="0"/>
                <w:sz w:val="15"/>
              </w:rPr>
              <w:t>Local Swift Packages</w:t>
            </w:r>
          </w:p>
        </w:tc>
        <w:tc>
          <w:tcPr>
            <w:tcW w:type="dxa" w:w="1704"/>
            <w:vAlign w:val="center"/>
            <w:shd w:fill="E2F0D9"/>
          </w:tcPr>
          <w:p>
            <w:r/>
            <w:r>
              <w:rPr>
                <w:rFonts w:ascii="Aptos" w:hAnsi="Aptos"/>
                <w:b w:val="0"/>
                <w:sz w:val="15"/>
              </w:rPr>
              <w:t>High</w:t>
            </w:r>
          </w:p>
        </w:tc>
        <w:tc>
          <w:tcPr>
            <w:tcW w:type="dxa" w:w="1704"/>
            <w:vAlign w:val="center"/>
            <w:shd w:fill="E2F0D9"/>
          </w:tcPr>
          <w:p>
            <w:r/>
            <w:r>
              <w:rPr>
                <w:rFonts w:ascii="Aptos" w:hAnsi="Aptos"/>
                <w:b w:val="0"/>
                <w:sz w:val="15"/>
              </w:rPr>
              <w:t>High</w:t>
            </w:r>
          </w:p>
        </w:tc>
        <w:tc>
          <w:tcPr>
            <w:tcW w:type="dxa" w:w="1704"/>
            <w:vAlign w:val="center"/>
            <w:shd w:fill="E2F0D9"/>
          </w:tcPr>
          <w:p>
            <w:r/>
            <w:r>
              <w:rPr>
                <w:rFonts w:ascii="Aptos" w:hAnsi="Aptos"/>
                <w:b w:val="0"/>
                <w:sz w:val="15"/>
              </w:rPr>
              <w:t>Incremental</w:t>
            </w:r>
          </w:p>
        </w:tc>
        <w:tc>
          <w:tcPr>
            <w:tcW w:type="dxa" w:w="1704"/>
            <w:vAlign w:val="center"/>
            <w:shd w:fill="E2F0D9"/>
          </w:tcPr>
          <w:p>
            <w:r/>
            <w:r>
              <w:rPr>
                <w:rFonts w:ascii="Aptos" w:hAnsi="Aptos"/>
                <w:b w:val="0"/>
                <w:sz w:val="15"/>
              </w:rPr>
              <w:t>Medium</w:t>
            </w:r>
          </w:p>
        </w:tc>
        <w:tc>
          <w:tcPr>
            <w:tcW w:type="dxa" w:w="1704"/>
            <w:vAlign w:val="center"/>
            <w:shd w:fill="E2F0D9"/>
          </w:tcPr>
          <w:p>
            <w:r/>
            <w:r>
              <w:rPr>
                <w:rFonts w:ascii="Aptos" w:hAnsi="Aptos"/>
                <w:b w:val="0"/>
                <w:sz w:val="15"/>
              </w:rPr>
              <w:t>Recommended</w:t>
            </w:r>
          </w:p>
        </w:tc>
      </w:tr>
      <w:tr>
        <w:tc>
          <w:tcPr>
            <w:tcW w:type="dxa" w:w="1704"/>
            <w:vAlign w:val="center"/>
          </w:tcPr>
          <w:p>
            <w:r/>
            <w:r>
              <w:rPr>
                <w:rFonts w:ascii="Aptos" w:hAnsi="Aptos"/>
                <w:b w:val="0"/>
                <w:sz w:val="15"/>
              </w:rPr>
              <w:t>Versioned package repos</w:t>
            </w:r>
          </w:p>
        </w:tc>
        <w:tc>
          <w:tcPr>
            <w:tcW w:type="dxa" w:w="1704"/>
            <w:vAlign w:val="center"/>
          </w:tcPr>
          <w:p>
            <w:r/>
            <w:r>
              <w:rPr>
                <w:rFonts w:ascii="Aptos" w:hAnsi="Aptos"/>
                <w:b w:val="0"/>
                <w:sz w:val="15"/>
              </w:rPr>
              <w:t>Very high</w:t>
            </w:r>
          </w:p>
        </w:tc>
        <w:tc>
          <w:tcPr>
            <w:tcW w:type="dxa" w:w="1704"/>
            <w:vAlign w:val="center"/>
          </w:tcPr>
          <w:p>
            <w:r/>
            <w:r>
              <w:rPr>
                <w:rFonts w:ascii="Aptos" w:hAnsi="Aptos"/>
                <w:b w:val="0"/>
                <w:sz w:val="15"/>
              </w:rPr>
              <w:t>High</w:t>
            </w:r>
          </w:p>
        </w:tc>
        <w:tc>
          <w:tcPr>
            <w:tcW w:type="dxa" w:w="1704"/>
            <w:vAlign w:val="center"/>
          </w:tcPr>
          <w:p>
            <w:r/>
            <w:r>
              <w:rPr>
                <w:rFonts w:ascii="Aptos" w:hAnsi="Aptos"/>
                <w:b w:val="0"/>
                <w:sz w:val="15"/>
              </w:rPr>
              <w:t>Harder</w:t>
            </w:r>
          </w:p>
        </w:tc>
        <w:tc>
          <w:tcPr>
            <w:tcW w:type="dxa" w:w="1704"/>
            <w:vAlign w:val="center"/>
          </w:tcPr>
          <w:p>
            <w:r/>
            <w:r>
              <w:rPr>
                <w:rFonts w:ascii="Aptos" w:hAnsi="Aptos"/>
                <w:b w:val="0"/>
                <w:sz w:val="15"/>
              </w:rPr>
              <w:t>High</w:t>
            </w:r>
          </w:p>
        </w:tc>
        <w:tc>
          <w:tcPr>
            <w:tcW w:type="dxa" w:w="1704"/>
            <w:vAlign w:val="center"/>
          </w:tcPr>
          <w:p>
            <w:r/>
            <w:r>
              <w:rPr>
                <w:rFonts w:ascii="Aptos" w:hAnsi="Aptos"/>
                <w:b w:val="0"/>
                <w:sz w:val="15"/>
              </w:rPr>
              <w:t>Later, if needed</w:t>
            </w:r>
          </w:p>
        </w:tc>
      </w:tr>
      <w:tr>
        <w:tc>
          <w:tcPr>
            <w:tcW w:type="dxa" w:w="1704"/>
            <w:vAlign w:val="center"/>
          </w:tcPr>
          <w:p>
            <w:r/>
            <w:r>
              <w:rPr>
                <w:rFonts w:ascii="Aptos" w:hAnsi="Aptos"/>
                <w:b w:val="0"/>
                <w:sz w:val="15"/>
              </w:rPr>
              <w:t>Binary XCFrameworks</w:t>
            </w:r>
          </w:p>
        </w:tc>
        <w:tc>
          <w:tcPr>
            <w:tcW w:type="dxa" w:w="1704"/>
            <w:vAlign w:val="center"/>
          </w:tcPr>
          <w:p>
            <w:r/>
            <w:r>
              <w:rPr>
                <w:rFonts w:ascii="Aptos" w:hAnsi="Aptos"/>
                <w:b w:val="0"/>
                <w:sz w:val="15"/>
              </w:rPr>
              <w:t>Very high</w:t>
            </w:r>
          </w:p>
        </w:tc>
        <w:tc>
          <w:tcPr>
            <w:tcW w:type="dxa" w:w="1704"/>
            <w:vAlign w:val="center"/>
          </w:tcPr>
          <w:p>
            <w:r/>
            <w:r>
              <w:rPr>
                <w:rFonts w:ascii="Aptos" w:hAnsi="Aptos"/>
                <w:b w:val="0"/>
                <w:sz w:val="15"/>
              </w:rPr>
              <w:t>Medium</w:t>
            </w:r>
          </w:p>
        </w:tc>
        <w:tc>
          <w:tcPr>
            <w:tcW w:type="dxa" w:w="1704"/>
            <w:vAlign w:val="center"/>
          </w:tcPr>
          <w:p>
            <w:r/>
            <w:r>
              <w:rPr>
                <w:rFonts w:ascii="Aptos" w:hAnsi="Aptos"/>
                <w:b w:val="0"/>
                <w:sz w:val="15"/>
              </w:rPr>
              <w:t>Hard</w:t>
            </w:r>
          </w:p>
        </w:tc>
        <w:tc>
          <w:tcPr>
            <w:tcW w:type="dxa" w:w="1704"/>
            <w:vAlign w:val="center"/>
          </w:tcPr>
          <w:p>
            <w:r/>
            <w:r>
              <w:rPr>
                <w:rFonts w:ascii="Aptos" w:hAnsi="Aptos"/>
                <w:b w:val="0"/>
                <w:sz w:val="15"/>
              </w:rPr>
              <w:t>High</w:t>
            </w:r>
          </w:p>
        </w:tc>
        <w:tc>
          <w:tcPr>
            <w:tcW w:type="dxa" w:w="1704"/>
            <w:vAlign w:val="center"/>
          </w:tcPr>
          <w:p>
            <w:r/>
            <w:r>
              <w:rPr>
                <w:rFonts w:ascii="Aptos" w:hAnsi="Aptos"/>
                <w:b w:val="0"/>
                <w:sz w:val="15"/>
              </w:rPr>
              <w:t>Special cases</w:t>
            </w:r>
          </w:p>
        </w:tc>
      </w:tr>
    </w:tbl>
    <w:p>
      <w:r>
        <w:t>Assessment note: The ratings above are an architecture recommendation for the current AirNavX context, not a universal ranking. Framework targets or binary frameworks may be better where Objective-C interoperability, binary-only delivery, signing or independent SDK distribution dominates the decision.</w:t>
      </w:r>
    </w:p>
    <w:p>
      <w:pPr>
        <w:pStyle w:val="Heading1"/>
      </w:pPr>
      <w:r>
        <w:t>5. Why Local Swift Packages Suit AirNavX</w:t>
      </w:r>
    </w:p>
    <w:p>
      <w:r>
        <w:rPr>
          <w:b/>
          <w:color w:val="2F5597"/>
        </w:rPr>
        <w:t xml:space="preserve">Capability-aligned boundaries: </w:t>
      </w:r>
      <w:r>
        <w:t>Manual Viewer, SVG Renderer and 3D Model Renderer are substantial capabilities with their own models, interactions and tests. They are large enough to justify package boundaries.</w:t>
      </w:r>
    </w:p>
    <w:p>
      <w:r>
        <w:rPr>
          <w:b/>
          <w:color w:val="2F5597"/>
        </w:rPr>
        <w:t xml:space="preserve">Gradual migration: </w:t>
      </w:r>
      <w:r>
        <w:t>AirNavX does not need a big-bang rewrite. SVG Renderer can be extracted first while the remaining code stays in the app target.</w:t>
      </w:r>
    </w:p>
    <w:p>
      <w:r>
        <w:rPr>
          <w:b/>
          <w:color w:val="2F5597"/>
        </w:rPr>
        <w:t xml:space="preserve">Stable public contracts: </w:t>
      </w:r>
      <w:r>
        <w:t>The application can consume a small public API while parsing, rendering and interaction details remain internal to each package.</w:t>
      </w:r>
    </w:p>
    <w:p>
      <w:r>
        <w:rPr>
          <w:b/>
          <w:color w:val="2F5597"/>
        </w:rPr>
        <w:t xml:space="preserve">Testing ownership: </w:t>
      </w:r>
      <w:r>
        <w:t>Each package can carry unit tests for its own logic. Integration tests verify module contracts, while AirNavXUITests validate complete user journeys.</w:t>
      </w:r>
    </w:p>
    <w:p>
      <w:r>
        <w:rPr>
          <w:b/>
          <w:color w:val="2F5597"/>
        </w:rPr>
        <w:t xml:space="preserve">Lower regression surface: </w:t>
      </w:r>
      <w:r>
        <w:t>If an SVG implementation changes without altering its public contract, detailed testing can focus on SVG unit tests, Manual Viewer-to-SVG integration and selected app smoke flows.</w:t>
      </w:r>
    </w:p>
    <w:p>
      <w:r>
        <w:rPr>
          <w:b/>
          <w:color w:val="2F5597"/>
        </w:rPr>
        <w:t xml:space="preserve">Future extensibility: </w:t>
      </w:r>
      <w:r>
        <w:t>A new renderer can be registered behind a content-rendering contract rather than added directly throughout Manual Viewer code.</w:t>
      </w:r>
    </w:p>
    <w:p>
      <w:r>
        <w:rPr>
          <w:b/>
          <w:color w:val="2F5597"/>
        </w:rPr>
        <w:t xml:space="preserve">Source-first development: </w:t>
      </w:r>
      <w:r>
        <w:t>The modules are developed by the AirNavX team and need rapid debugging. Local source packages preserve source visibility and avoid binary distribution overhead.</w:t>
      </w:r>
    </w:p>
    <w:p>
      <w:r>
        <w:rPr>
          <w:b/>
          <w:color w:val="2F5597"/>
        </w:rPr>
        <w:t xml:space="preserve">CI compatibility: </w:t>
      </w:r>
      <w:r>
        <w:t>Swift Package Manager supports build and test commands, and Apple documents using packages within continuous integration workflows.</w:t>
      </w:r>
    </w:p>
    <w:p>
      <w:pPr>
        <w:pStyle w:val="Heading1"/>
      </w:pPr>
      <w:r>
        <w:t>6. Recommended Target Architecture</w:t>
      </w:r>
    </w:p>
    <w:p>
      <w:pPr>
        <w:jc w:val="center"/>
      </w:pPr>
      <w:r>
        <w:rPr>
          <w:rFonts w:ascii="Consolas" w:hAnsi="Consolas"/>
          <w:color w:val="17365D"/>
          <w:sz w:val="18"/>
        </w:rPr>
        <w:t>AirNavXApp</w:t>
        <w:br/>
        <w:t xml:space="preserve">    |</w:t>
        <w:br/>
        <w:t xml:space="preserve">    +-- ManualViewer</w:t>
        <w:br/>
        <w:t xml:space="preserve">    |      +-- HTMLRenderer</w:t>
        <w:br/>
        <w:t xml:space="preserve">    |      +-- SVGRenderer</w:t>
        <w:br/>
        <w:t xml:space="preserve">    |      +-- Model3DRenderer</w:t>
        <w:br/>
        <w:t xml:space="preserve">    |</w:t>
        <w:br/>
        <w:t xml:space="preserve">    +-- TOC / Search</w:t>
        <w:br/>
        <w:t xml:space="preserve">    +-- OfflineContent</w:t>
        <w:br/>
        <w:t xml:space="preserve">    +-- AircraftContext</w:t>
        <w:br/>
        <w:t xml:space="preserve">    +-- DesignSystem</w:t>
        <w:br/>
        <w:br/>
        <w:t>All feature packages depend only on narrow shared contracts or utilities.</w:t>
      </w:r>
    </w:p>
    <w:p>
      <w:pPr>
        <w:pStyle w:val="Heading2"/>
      </w:pPr>
      <w:r>
        <w:t>Dependency rules</w:t>
      </w:r>
    </w:p>
    <w:p>
      <w:pPr>
        <w:pStyle w:val="ListNumber"/>
      </w:pPr>
      <w:r>
        <w:t>AirNavXApp performs composition and supplies concrete dependencies.</w:t>
      </w:r>
    </w:p>
    <w:p>
      <w:pPr>
        <w:pStyle w:val="ListNumber"/>
      </w:pPr>
      <w:r>
        <w:t>Manual Viewer coordinates content but does not contain SVG or 3D rendering implementations.</w:t>
      </w:r>
    </w:p>
    <w:p>
      <w:pPr>
        <w:pStyle w:val="ListNumber"/>
      </w:pPr>
      <w:r>
        <w:t>Renderer packages do not depend back on Manual Viewer or AirNavXApp.</w:t>
      </w:r>
    </w:p>
    <w:p>
      <w:pPr>
        <w:pStyle w:val="ListNumber"/>
      </w:pPr>
      <w:r>
        <w:t>Shared Core must remain small; SVG-specific and 3D-specific models stay in their owning packages.</w:t>
      </w:r>
    </w:p>
    <w:p>
      <w:pPr>
        <w:pStyle w:val="ListNumber"/>
      </w:pPr>
      <w:r>
        <w:t>No circular package dependencies.</w:t>
      </w:r>
    </w:p>
    <w:p>
      <w:pPr>
        <w:pStyle w:val="ListNumber"/>
      </w:pPr>
      <w:r>
        <w:t>Only intentionally supported APIs are declared public; implementation details remain internal.</w:t>
      </w:r>
    </w:p>
    <w:p>
      <w:pPr>
        <w:pStyle w:val="Heading1"/>
      </w:pPr>
      <w:r>
        <w:t>7. Testing Strategy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2F5597"/>
          </w:tcPr>
          <w:p>
            <w:r/>
            <w:r>
              <w:rPr>
                <w:rFonts w:ascii="Aptos" w:hAnsi="Aptos"/>
                <w:b/>
                <w:color w:val="FFFFFF"/>
                <w:sz w:val="16"/>
              </w:rPr>
              <w:t>Layer</w:t>
            </w:r>
          </w:p>
        </w:tc>
        <w:tc>
          <w:tcPr>
            <w:tcW w:type="dxa" w:w="2556"/>
            <w:vAlign w:val="center"/>
            <w:shd w:fill="2F5597"/>
          </w:tcPr>
          <w:p>
            <w:r/>
            <w:r>
              <w:rPr>
                <w:rFonts w:ascii="Aptos" w:hAnsi="Aptos"/>
                <w:b/>
                <w:color w:val="FFFFFF"/>
                <w:sz w:val="16"/>
              </w:rPr>
              <w:t>Location</w:t>
            </w:r>
          </w:p>
        </w:tc>
        <w:tc>
          <w:tcPr>
            <w:tcW w:type="dxa" w:w="2556"/>
            <w:vAlign w:val="center"/>
            <w:shd w:fill="2F5597"/>
          </w:tcPr>
          <w:p>
            <w:r/>
            <w:r>
              <w:rPr>
                <w:rFonts w:ascii="Aptos" w:hAnsi="Aptos"/>
                <w:b/>
                <w:color w:val="FFFFFF"/>
                <w:sz w:val="16"/>
              </w:rPr>
              <w:t>Examples</w:t>
            </w:r>
          </w:p>
        </w:tc>
        <w:tc>
          <w:tcPr>
            <w:tcW w:type="dxa" w:w="2556"/>
            <w:vAlign w:val="center"/>
            <w:shd w:fill="2F5597"/>
          </w:tcPr>
          <w:p>
            <w:r/>
            <w:r>
              <w:rPr>
                <w:rFonts w:ascii="Aptos" w:hAnsi="Aptos"/>
                <w:b/>
                <w:color w:val="FFFFFF"/>
                <w:sz w:val="16"/>
              </w:rPr>
              <w:t>Purpose</w:t>
            </w:r>
          </w:p>
        </w:tc>
      </w:tr>
      <w:tr>
        <w:tc>
          <w:tcPr>
            <w:tcW w:type="dxa" w:w="2556"/>
            <w:vAlign w:val="center"/>
          </w:tcPr>
          <w:p>
            <w:r/>
            <w:r>
              <w:rPr>
                <w:rFonts w:ascii="Aptos" w:hAnsi="Aptos"/>
                <w:b w:val="0"/>
                <w:sz w:val="16"/>
              </w:rPr>
              <w:t>Unit tests</w:t>
            </w:r>
          </w:p>
        </w:tc>
        <w:tc>
          <w:tcPr>
            <w:tcW w:type="dxa" w:w="2556"/>
            <w:vAlign w:val="center"/>
          </w:tcPr>
          <w:p>
            <w:r/>
            <w:r>
              <w:rPr>
                <w:rFonts w:ascii="Aptos" w:hAnsi="Aptos"/>
                <w:b w:val="0"/>
                <w:sz w:val="16"/>
              </w:rPr>
              <w:t>Inside each package</w:t>
            </w:r>
          </w:p>
        </w:tc>
        <w:tc>
          <w:tcPr>
            <w:tcW w:type="dxa" w:w="2556"/>
            <w:vAlign w:val="center"/>
          </w:tcPr>
          <w:p>
            <w:r/>
            <w:r>
              <w:rPr>
                <w:rFonts w:ascii="Aptos" w:hAnsi="Aptos"/>
                <w:b w:val="0"/>
                <w:sz w:val="16"/>
              </w:rPr>
              <w:t>SVG parsing, hotspot mapping, content routing, model state</w:t>
            </w:r>
          </w:p>
        </w:tc>
        <w:tc>
          <w:tcPr>
            <w:tcW w:type="dxa" w:w="2556"/>
            <w:vAlign w:val="center"/>
          </w:tcPr>
          <w:p>
            <w:r/>
            <w:r>
              <w:rPr>
                <w:rFonts w:ascii="Aptos" w:hAnsi="Aptos"/>
                <w:b w:val="0"/>
                <w:sz w:val="16"/>
              </w:rPr>
              <w:t>Fast validation of module logic</w:t>
            </w:r>
          </w:p>
        </w:tc>
      </w:tr>
      <w:tr>
        <w:tc>
          <w:tcPr>
            <w:tcW w:type="dxa" w:w="2556"/>
            <w:vAlign w:val="center"/>
          </w:tcPr>
          <w:p>
            <w:r/>
            <w:r>
              <w:rPr>
                <w:rFonts w:ascii="Aptos" w:hAnsi="Aptos"/>
                <w:b w:val="0"/>
                <w:sz w:val="16"/>
              </w:rPr>
              <w:t>Contract/integration tests</w:t>
            </w:r>
          </w:p>
        </w:tc>
        <w:tc>
          <w:tcPr>
            <w:tcW w:type="dxa" w:w="2556"/>
            <w:vAlign w:val="center"/>
          </w:tcPr>
          <w:p>
            <w:r/>
            <w:r>
              <w:rPr>
                <w:rFonts w:ascii="Aptos" w:hAnsi="Aptos"/>
                <w:b w:val="0"/>
                <w:sz w:val="16"/>
              </w:rPr>
              <w:t>Package or app integration target</w:t>
            </w:r>
          </w:p>
        </w:tc>
        <w:tc>
          <w:tcPr>
            <w:tcW w:type="dxa" w:w="2556"/>
            <w:vAlign w:val="center"/>
          </w:tcPr>
          <w:p>
            <w:r/>
            <w:r>
              <w:rPr>
                <w:rFonts w:ascii="Aptos" w:hAnsi="Aptos"/>
                <w:b w:val="0"/>
                <w:sz w:val="16"/>
              </w:rPr>
              <w:t>Manual Viewer selects SVG renderer; hotspot callback updates viewer state</w:t>
            </w:r>
          </w:p>
        </w:tc>
        <w:tc>
          <w:tcPr>
            <w:tcW w:type="dxa" w:w="2556"/>
            <w:vAlign w:val="center"/>
          </w:tcPr>
          <w:p>
            <w:r/>
            <w:r>
              <w:rPr>
                <w:rFonts w:ascii="Aptos" w:hAnsi="Aptos"/>
                <w:b w:val="0"/>
                <w:sz w:val="16"/>
              </w:rPr>
              <w:t>Validate package boundaries</w:t>
            </w:r>
          </w:p>
        </w:tc>
      </w:tr>
      <w:tr>
        <w:tc>
          <w:tcPr>
            <w:tcW w:type="dxa" w:w="2556"/>
            <w:vAlign w:val="center"/>
          </w:tcPr>
          <w:p>
            <w:r/>
            <w:r>
              <w:rPr>
                <w:rFonts w:ascii="Aptos" w:hAnsi="Aptos"/>
                <w:b w:val="0"/>
                <w:sz w:val="16"/>
              </w:rPr>
              <w:t>UI tests</w:t>
            </w:r>
          </w:p>
        </w:tc>
        <w:tc>
          <w:tcPr>
            <w:tcW w:type="dxa" w:w="2556"/>
            <w:vAlign w:val="center"/>
          </w:tcPr>
          <w:p>
            <w:r/>
            <w:r>
              <w:rPr>
                <w:rFonts w:ascii="Aptos" w:hAnsi="Aptos"/>
                <w:b w:val="0"/>
                <w:sz w:val="16"/>
              </w:rPr>
              <w:t>AirNavXUITests</w:t>
            </w:r>
          </w:p>
        </w:tc>
        <w:tc>
          <w:tcPr>
            <w:tcW w:type="dxa" w:w="2556"/>
            <w:vAlign w:val="center"/>
          </w:tcPr>
          <w:p>
            <w:r/>
            <w:r>
              <w:rPr>
                <w:rFonts w:ascii="Aptos" w:hAnsi="Aptos"/>
                <w:b w:val="0"/>
                <w:sz w:val="16"/>
              </w:rPr>
              <w:t>Open manual, launch illustration, interact with SVG/3D</w:t>
            </w:r>
          </w:p>
        </w:tc>
        <w:tc>
          <w:tcPr>
            <w:tcW w:type="dxa" w:w="2556"/>
            <w:vAlign w:val="center"/>
          </w:tcPr>
          <w:p>
            <w:r/>
            <w:r>
              <w:rPr>
                <w:rFonts w:ascii="Aptos" w:hAnsi="Aptos"/>
                <w:b w:val="0"/>
                <w:sz w:val="16"/>
              </w:rPr>
              <w:t>Validate real user journeys</w:t>
            </w:r>
          </w:p>
        </w:tc>
      </w:tr>
      <w:tr>
        <w:tc>
          <w:tcPr>
            <w:tcW w:type="dxa" w:w="2556"/>
            <w:vAlign w:val="center"/>
          </w:tcPr>
          <w:p>
            <w:r/>
            <w:r>
              <w:rPr>
                <w:rFonts w:ascii="Aptos" w:hAnsi="Aptos"/>
                <w:b w:val="0"/>
                <w:sz w:val="16"/>
              </w:rPr>
              <w:t>Smoke tests</w:t>
            </w:r>
          </w:p>
        </w:tc>
        <w:tc>
          <w:tcPr>
            <w:tcW w:type="dxa" w:w="2556"/>
            <w:vAlign w:val="center"/>
          </w:tcPr>
          <w:p>
            <w:r/>
            <w:r>
              <w:rPr>
                <w:rFonts w:ascii="Aptos" w:hAnsi="Aptos"/>
                <w:b w:val="0"/>
                <w:sz w:val="16"/>
              </w:rPr>
              <w:t>AirNavX app pipeline</w:t>
            </w:r>
          </w:p>
        </w:tc>
        <w:tc>
          <w:tcPr>
            <w:tcW w:type="dxa" w:w="2556"/>
            <w:vAlign w:val="center"/>
          </w:tcPr>
          <w:p>
            <w:r/>
            <w:r>
              <w:rPr>
                <w:rFonts w:ascii="Aptos" w:hAnsi="Aptos"/>
                <w:b w:val="0"/>
                <w:sz w:val="16"/>
              </w:rPr>
              <w:t>Launch, select aircraft, open manual and content</w:t>
            </w:r>
          </w:p>
        </w:tc>
        <w:tc>
          <w:tcPr>
            <w:tcW w:type="dxa" w:w="2556"/>
            <w:vAlign w:val="center"/>
          </w:tcPr>
          <w:p>
            <w:r/>
            <w:r>
              <w:rPr>
                <w:rFonts w:ascii="Aptos" w:hAnsi="Aptos"/>
                <w:b w:val="0"/>
                <w:sz w:val="16"/>
              </w:rPr>
              <w:t>Quick release confidence</w:t>
            </w:r>
          </w:p>
        </w:tc>
      </w:tr>
    </w:tbl>
    <w:p>
      <w:pPr>
        <w:pStyle w:val="Heading2"/>
      </w:pPr>
      <w:r>
        <w:t>Regression principle</w:t>
      </w:r>
    </w:p>
    <w:p>
      <w:r>
        <w:t>Package architecture supports focused regression, not zero regression. A renderer change should run that package’s unit tests, affected integration tests and selected application smoke/UI tests. A shared contract or Core change requires broader testing because more modules may be affected.</w:t>
      </w:r>
    </w:p>
    <w:p>
      <w:pPr>
        <w:pStyle w:val="Heading1"/>
      </w:pPr>
      <w:r>
        <w:t>8. Recommended Adoption Plan</w:t>
      </w:r>
    </w:p>
    <w:p>
      <w:r>
        <w:rPr>
          <w:b/>
          <w:color w:val="2F5597"/>
        </w:rPr>
        <w:t>Phase 1 - Establish conventions</w:t>
      </w:r>
    </w:p>
    <w:p>
      <w:r>
        <w:t>Define naming, folder layout, minimum iOS version, public API rules, ownership and dependency rules.</w:t>
      </w:r>
    </w:p>
    <w:p>
      <w:r>
        <w:rPr>
          <w:b/>
          <w:color w:val="2F5597"/>
        </w:rPr>
        <w:t>Phase 2 - Extract SVG Renderer</w:t>
      </w:r>
    </w:p>
    <w:p>
      <w:r>
        <w:t>Create the first local package, move SVG-specific logic and resources, add unit tests, expose a small API and integrate it into the existing viewer.</w:t>
      </w:r>
    </w:p>
    <w:p>
      <w:r>
        <w:rPr>
          <w:b/>
          <w:color w:val="2F5597"/>
        </w:rPr>
        <w:t>Phase 3 - Extract 3D Model Renderer</w:t>
      </w:r>
    </w:p>
    <w:p>
      <w:r>
        <w:t>Repeat the same package pattern and keep framework-specific code internal.</w:t>
      </w:r>
    </w:p>
    <w:p>
      <w:r>
        <w:rPr>
          <w:b/>
          <w:color w:val="2F5597"/>
        </w:rPr>
        <w:t>Phase 4 - Extract Manual Viewer</w:t>
      </w:r>
    </w:p>
    <w:p>
      <w:r>
        <w:t>Move viewer coordination after renderer contracts are stable. Manual Viewer selects renderers but does not implement them.</w:t>
      </w:r>
    </w:p>
    <w:p>
      <w:r>
        <w:rPr>
          <w:b/>
          <w:color w:val="2F5597"/>
        </w:rPr>
        <w:t>Phase 5 - Expand selectively</w:t>
      </w:r>
    </w:p>
    <w:p>
      <w:r>
        <w:t>Extract TOC/Search, Offline Content and Aircraft Context only where boundaries and ownership are clear.</w:t>
      </w:r>
    </w:p>
    <w:p>
      <w:r>
        <w:rPr>
          <w:b/>
          <w:color w:val="2F5597"/>
        </w:rPr>
        <w:t>Phase 6 - Optimize CI</w:t>
      </w:r>
    </w:p>
    <w:p>
      <w:r>
        <w:t>Map changed package paths to package tests, impacted integration tests and critical AirNavX UI tests. Keep a scheduled or release-level broader suite.</w:t>
      </w:r>
    </w:p>
    <w:p>
      <w:pPr>
        <w:pStyle w:val="Heading1"/>
      </w:pPr>
      <w:r>
        <w:t>9. Risks and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rFonts w:ascii="Aptos" w:hAnsi="Aptos"/>
                <w:b/>
                <w:color w:val="FFFFFF"/>
                <w:sz w:val="16"/>
              </w:rPr>
              <w:t>Risk</w:t>
            </w:r>
          </w:p>
        </w:tc>
        <w:tc>
          <w:tcPr>
            <w:tcW w:type="dxa" w:w="3408"/>
            <w:vAlign w:val="center"/>
            <w:shd w:fill="2F5597"/>
          </w:tcPr>
          <w:p>
            <w:r/>
            <w:r>
              <w:rPr>
                <w:rFonts w:ascii="Aptos" w:hAnsi="Aptos"/>
                <w:b/>
                <w:color w:val="FFFFFF"/>
                <w:sz w:val="16"/>
              </w:rPr>
              <w:t>Impact</w:t>
            </w:r>
          </w:p>
        </w:tc>
        <w:tc>
          <w:tcPr>
            <w:tcW w:type="dxa" w:w="3408"/>
            <w:vAlign w:val="center"/>
            <w:shd w:fill="2F5597"/>
          </w:tcPr>
          <w:p>
            <w:r/>
            <w:r>
              <w:rPr>
                <w:rFonts w:ascii="Aptos" w:hAnsi="Aptos"/>
                <w:b/>
                <w:color w:val="FFFFFF"/>
                <w:sz w:val="16"/>
              </w:rPr>
              <w:t>Control</w:t>
            </w:r>
          </w:p>
        </w:tc>
      </w:tr>
      <w:tr>
        <w:tc>
          <w:tcPr>
            <w:tcW w:type="dxa" w:w="3408"/>
            <w:vAlign w:val="center"/>
          </w:tcPr>
          <w:p>
            <w:r/>
            <w:r>
              <w:rPr>
                <w:rFonts w:ascii="Aptos" w:hAnsi="Aptos"/>
                <w:b w:val="0"/>
                <w:sz w:val="16"/>
              </w:rPr>
              <w:t>Too many small packages</w:t>
            </w:r>
          </w:p>
        </w:tc>
        <w:tc>
          <w:tcPr>
            <w:tcW w:type="dxa" w:w="3408"/>
            <w:vAlign w:val="center"/>
          </w:tcPr>
          <w:p>
            <w:r/>
            <w:r>
              <w:rPr>
                <w:rFonts w:ascii="Aptos" w:hAnsi="Aptos"/>
                <w:b w:val="0"/>
                <w:sz w:val="16"/>
              </w:rPr>
              <w:t>Complex dependency graph and slower development</w:t>
            </w:r>
          </w:p>
        </w:tc>
        <w:tc>
          <w:tcPr>
            <w:tcW w:type="dxa" w:w="3408"/>
            <w:vAlign w:val="center"/>
          </w:tcPr>
          <w:p>
            <w:r/>
            <w:r>
              <w:rPr>
                <w:rFonts w:ascii="Aptos" w:hAnsi="Aptos"/>
                <w:b w:val="0"/>
                <w:sz w:val="16"/>
              </w:rPr>
              <w:t>Package by business capability, not by view or button</w:t>
            </w:r>
          </w:p>
        </w:tc>
      </w:tr>
      <w:tr>
        <w:tc>
          <w:tcPr>
            <w:tcW w:type="dxa" w:w="3408"/>
            <w:vAlign w:val="center"/>
          </w:tcPr>
          <w:p>
            <w:r/>
            <w:r>
              <w:rPr>
                <w:rFonts w:ascii="Aptos" w:hAnsi="Aptos"/>
                <w:b w:val="0"/>
                <w:sz w:val="16"/>
              </w:rPr>
              <w:t>Large shared Core</w:t>
            </w:r>
          </w:p>
        </w:tc>
        <w:tc>
          <w:tcPr>
            <w:tcW w:type="dxa" w:w="3408"/>
            <w:vAlign w:val="center"/>
          </w:tcPr>
          <w:p>
            <w:r/>
            <w:r>
              <w:rPr>
                <w:rFonts w:ascii="Aptos" w:hAnsi="Aptos"/>
                <w:b w:val="0"/>
                <w:sz w:val="16"/>
              </w:rPr>
              <w:t>Core becomes a hidden monolith</w:t>
            </w:r>
          </w:p>
        </w:tc>
        <w:tc>
          <w:tcPr>
            <w:tcW w:type="dxa" w:w="3408"/>
            <w:vAlign w:val="center"/>
          </w:tcPr>
          <w:p>
            <w:r/>
            <w:r>
              <w:rPr>
                <w:rFonts w:ascii="Aptos" w:hAnsi="Aptos"/>
                <w:b w:val="0"/>
                <w:sz w:val="16"/>
              </w:rPr>
              <w:t>Move only genuinely shared contracts and value types into Core</w:t>
            </w:r>
          </w:p>
        </w:tc>
      </w:tr>
      <w:tr>
        <w:tc>
          <w:tcPr>
            <w:tcW w:type="dxa" w:w="3408"/>
            <w:vAlign w:val="center"/>
          </w:tcPr>
          <w:p>
            <w:r/>
            <w:r>
              <w:rPr>
                <w:rFonts w:ascii="Aptos" w:hAnsi="Aptos"/>
                <w:b w:val="0"/>
                <w:sz w:val="16"/>
              </w:rPr>
              <w:t>Circular dependencies</w:t>
            </w:r>
          </w:p>
        </w:tc>
        <w:tc>
          <w:tcPr>
            <w:tcW w:type="dxa" w:w="3408"/>
            <w:vAlign w:val="center"/>
          </w:tcPr>
          <w:p>
            <w:r/>
            <w:r>
              <w:rPr>
                <w:rFonts w:ascii="Aptos" w:hAnsi="Aptos"/>
                <w:b w:val="0"/>
                <w:sz w:val="16"/>
              </w:rPr>
              <w:t>Build and ownership problems</w:t>
            </w:r>
          </w:p>
        </w:tc>
        <w:tc>
          <w:tcPr>
            <w:tcW w:type="dxa" w:w="3408"/>
            <w:vAlign w:val="center"/>
          </w:tcPr>
          <w:p>
            <w:r/>
            <w:r>
              <w:rPr>
                <w:rFonts w:ascii="Aptos" w:hAnsi="Aptos"/>
                <w:b w:val="0"/>
                <w:sz w:val="16"/>
              </w:rPr>
              <w:t>Enforce one-way dependency rules during review</w:t>
            </w:r>
          </w:p>
        </w:tc>
      </w:tr>
      <w:tr>
        <w:tc>
          <w:tcPr>
            <w:tcW w:type="dxa" w:w="3408"/>
            <w:vAlign w:val="center"/>
          </w:tcPr>
          <w:p>
            <w:r/>
            <w:r>
              <w:rPr>
                <w:rFonts w:ascii="Aptos" w:hAnsi="Aptos"/>
                <w:b w:val="0"/>
                <w:sz w:val="16"/>
              </w:rPr>
              <w:t>Large public APIs</w:t>
            </w:r>
          </w:p>
        </w:tc>
        <w:tc>
          <w:tcPr>
            <w:tcW w:type="dxa" w:w="3408"/>
            <w:vAlign w:val="center"/>
          </w:tcPr>
          <w:p>
            <w:r/>
            <w:r>
              <w:rPr>
                <w:rFonts w:ascii="Aptos" w:hAnsi="Aptos"/>
                <w:b w:val="0"/>
                <w:sz w:val="16"/>
              </w:rPr>
              <w:t>Tight coupling across packages</w:t>
            </w:r>
          </w:p>
        </w:tc>
        <w:tc>
          <w:tcPr>
            <w:tcW w:type="dxa" w:w="3408"/>
            <w:vAlign w:val="center"/>
          </w:tcPr>
          <w:p>
            <w:r/>
            <w:r>
              <w:rPr>
                <w:rFonts w:ascii="Aptos" w:hAnsi="Aptos"/>
                <w:b w:val="0"/>
                <w:sz w:val="16"/>
              </w:rPr>
              <w:t>Default to internal and expose only deliberate entry points</w:t>
            </w:r>
          </w:p>
        </w:tc>
      </w:tr>
      <w:tr>
        <w:tc>
          <w:tcPr>
            <w:tcW w:type="dxa" w:w="3408"/>
            <w:vAlign w:val="center"/>
          </w:tcPr>
          <w:p>
            <w:r/>
            <w:r>
              <w:rPr>
                <w:rFonts w:ascii="Aptos" w:hAnsi="Aptos"/>
                <w:b w:val="0"/>
                <w:sz w:val="16"/>
              </w:rPr>
              <w:t>False confidence in regression</w:t>
            </w:r>
          </w:p>
        </w:tc>
        <w:tc>
          <w:tcPr>
            <w:tcW w:type="dxa" w:w="3408"/>
            <w:vAlign w:val="center"/>
          </w:tcPr>
          <w:p>
            <w:r/>
            <w:r>
              <w:rPr>
                <w:rFonts w:ascii="Aptos" w:hAnsi="Aptos"/>
                <w:b w:val="0"/>
                <w:sz w:val="16"/>
              </w:rPr>
              <w:t>Integration defects can escape</w:t>
            </w:r>
          </w:p>
        </w:tc>
        <w:tc>
          <w:tcPr>
            <w:tcW w:type="dxa" w:w="3408"/>
            <w:vAlign w:val="center"/>
          </w:tcPr>
          <w:p>
            <w:r/>
            <w:r>
              <w:rPr>
                <w:rFonts w:ascii="Aptos" w:hAnsi="Aptos"/>
                <w:b w:val="0"/>
                <w:sz w:val="16"/>
              </w:rPr>
              <w:t>Retain integration and critical UI smoke tests</w:t>
            </w:r>
          </w:p>
        </w:tc>
      </w:tr>
      <w:tr>
        <w:tc>
          <w:tcPr>
            <w:tcW w:type="dxa" w:w="3408"/>
            <w:vAlign w:val="center"/>
          </w:tcPr>
          <w:p>
            <w:r/>
            <w:r>
              <w:rPr>
                <w:rFonts w:ascii="Aptos" w:hAnsi="Aptos"/>
                <w:b w:val="0"/>
                <w:sz w:val="16"/>
              </w:rPr>
              <w:t>Big-bang migration</w:t>
            </w:r>
          </w:p>
        </w:tc>
        <w:tc>
          <w:tcPr>
            <w:tcW w:type="dxa" w:w="3408"/>
            <w:vAlign w:val="center"/>
          </w:tcPr>
          <w:p>
            <w:r/>
            <w:r>
              <w:rPr>
                <w:rFonts w:ascii="Aptos" w:hAnsi="Aptos"/>
                <w:b w:val="0"/>
                <w:sz w:val="16"/>
              </w:rPr>
              <w:t>High delivery risk</w:t>
            </w:r>
          </w:p>
        </w:tc>
        <w:tc>
          <w:tcPr>
            <w:tcW w:type="dxa" w:w="3408"/>
            <w:vAlign w:val="center"/>
          </w:tcPr>
          <w:p>
            <w:r/>
            <w:r>
              <w:rPr>
                <w:rFonts w:ascii="Aptos" w:hAnsi="Aptos"/>
                <w:b w:val="0"/>
                <w:sz w:val="16"/>
              </w:rPr>
              <w:t>Extract one proven module at a time</w:t>
            </w:r>
          </w:p>
        </w:tc>
      </w:tr>
    </w:tbl>
    <w:p>
      <w:pPr>
        <w:pStyle w:val="Heading1"/>
      </w:pPr>
      <w:r>
        <w:t>10. Recommendation and Decision Criteria</w:t>
      </w:r>
    </w:p>
    <w:p>
      <w:r>
        <w:t>Proceed with Local Swift Packages as the default modularization mechanism for AirNavX-owned Swift and SwiftUI source code. Start with SVG Renderer as the pilot package. Approve further extraction only when the module has a clear responsibility, a small public API, identified consumers, dedicated unit tests and no circular dependency.</w:t>
      </w:r>
    </w:p>
    <w:p>
      <w:pPr>
        <w:pStyle w:val="Callout"/>
      </w:pPr>
      <w:r>
        <w:t>Use another approach only when there is a specific driver:</w:t>
      </w:r>
    </w:p>
    <w:p>
      <w:pPr>
        <w:pStyle w:val="ListBullet"/>
      </w:pPr>
      <w:r>
        <w:t>Use feature folders temporarily when preparing code for later extraction.</w:t>
      </w:r>
    </w:p>
    <w:p>
      <w:pPr>
        <w:pStyle w:val="ListBullet"/>
      </w:pPr>
      <w:r>
        <w:t>Use an Xcode framework target when framework-specific build behavior or interoperability requirements justify it.</w:t>
      </w:r>
    </w:p>
    <w:p>
      <w:pPr>
        <w:pStyle w:val="ListBullet"/>
      </w:pPr>
      <w:r>
        <w:t>Use a separate versioned package repository when a module has independent ownership, release cadence or reuse across products.</w:t>
      </w:r>
    </w:p>
    <w:p>
      <w:pPr>
        <w:pStyle w:val="ListBullet"/>
      </w:pPr>
      <w:r>
        <w:t>Use an XCFramework when source cannot be distributed or a third-party/precompiled engine must be integrated.</w:t>
      </w:r>
    </w:p>
    <w:p>
      <w:pPr>
        <w:pStyle w:val="Heading2"/>
      </w:pPr>
      <w:r>
        <w:t>Definition of done for the SVG pilot</w:t>
      </w:r>
    </w:p>
    <w:p>
      <w:pPr>
        <w:pStyle w:val="ListNumber"/>
      </w:pPr>
      <w:r>
        <w:t>Package builds independently and is consumed by AirNavX as a local dependency.</w:t>
      </w:r>
    </w:p>
    <w:p>
      <w:pPr>
        <w:pStyle w:val="ListNumber"/>
      </w:pPr>
      <w:r>
        <w:t>Only the intended entry API is public.</w:t>
      </w:r>
    </w:p>
    <w:p>
      <w:pPr>
        <w:pStyle w:val="ListNumber"/>
      </w:pPr>
      <w:r>
        <w:t>SVG-specific code and test resources reside in the package.</w:t>
      </w:r>
    </w:p>
    <w:p>
      <w:pPr>
        <w:pStyle w:val="ListNumber"/>
      </w:pPr>
      <w:r>
        <w:t>Unit tests cover parsing/loading, invalid input and key interaction state.</w:t>
      </w:r>
    </w:p>
    <w:p>
      <w:pPr>
        <w:pStyle w:val="ListNumber"/>
      </w:pPr>
      <w:r>
        <w:t>Manual Viewer-to-SVG integration is tested.</w:t>
      </w:r>
    </w:p>
    <w:p>
      <w:pPr>
        <w:pStyle w:val="ListNumber"/>
      </w:pPr>
      <w:r>
        <w:t>At least one AirNavX UI smoke flow opens and displays an SVG illustration.</w:t>
      </w:r>
    </w:p>
    <w:p>
      <w:pPr>
        <w:pStyle w:val="ListNumber"/>
      </w:pPr>
      <w:r>
        <w:t>Jenkins builds the package and runs the relevant test suites.</w:t>
      </w:r>
    </w:p>
    <w:p>
      <w:pPr>
        <w:pStyle w:val="Heading1"/>
      </w:pPr>
      <w:r>
        <w:t>11. AirNavX Example - Process-Level Implementation</w:t>
      </w:r>
    </w:p>
    <w:p>
      <w:pPr>
        <w:pStyle w:val="ListBullet"/>
      </w:pPr>
      <w:r>
        <w:rPr>
          <w:b/>
        </w:rPr>
        <w:t xml:space="preserve">Apple Developer Documentation - Swift packages: </w:t>
      </w:r>
      <w:r>
        <w:t>https://developer.apple.com/documentation/xcode/swift-packages</w:t>
      </w:r>
    </w:p>
    <w:p>
      <w:pPr>
        <w:pStyle w:val="ListBullet"/>
      </w:pPr>
      <w:r>
        <w:rPr>
          <w:b/>
        </w:rPr>
        <w:t xml:space="preserve">Swift Package Manager Documentation: </w:t>
      </w:r>
      <w:r>
        <w:t>https://docs.swift.org/latest/documentation/packagemanagerdocs/</w:t>
      </w:r>
    </w:p>
    <w:p>
      <w:pPr>
        <w:pStyle w:val="ListBullet"/>
      </w:pPr>
      <w:r>
        <w:rPr>
          <w:b/>
        </w:rPr>
        <w:t xml:space="preserve">Swift.org - Packages: </w:t>
      </w:r>
      <w:r>
        <w:t>https://www.swift.org/packages/</w:t>
      </w:r>
    </w:p>
    <w:p>
      <w:pPr>
        <w:pStyle w:val="ListBullet"/>
      </w:pPr>
      <w:r>
        <w:rPr>
          <w:b/>
        </w:rPr>
        <w:t xml:space="preserve">Swift.org - Documenting a Swift Framework or Package: </w:t>
      </w:r>
      <w:r>
        <w:t>https://www.swift.org/documentation/docc/documenting-a-swift-framework-or-package</w:t>
      </w:r>
    </w:p>
    <w:p>
      <w:pPr>
        <w:pStyle w:val="ListBullet"/>
      </w:pPr>
      <w:r>
        <w:rPr>
          <w:b/>
        </w:rPr>
        <w:t xml:space="preserve">Internal reference - AirNavX Technology Evaluation: </w:t>
      </w:r>
      <w:r>
        <w:t>AirNavX_Technology_Evaluation.fixed.pptx and related architecture drafts</w:t>
      </w:r>
    </w:p>
    <w:p>
      <w:r>
        <w:t>The following example explains the implementation process at architecture and delivery level. It intentionally avoids code-level detail. The example uses SVG Renderer as the first AirNavX module to move into a Local Swift Package.</w:t>
      </w:r>
    </w:p>
    <w:p>
      <w:r>
        <w:rPr>
          <w:b/>
          <w:color w:val="2F5597"/>
          <w:sz w:val="22"/>
        </w:rPr>
        <w:t>1. Identify the module boundary</w:t>
      </w:r>
    </w:p>
    <w:p>
      <w:r>
        <w:t>Select one capability that has a clear responsibility. For the pilot, use SVG Renderer. Its responsibility is SVG illustration handling, including loading/rendering behavior, zoom/pan, hotspots and highlighting. Manual Viewer remains responsible for deciding when an illustration should be opened.</w:t>
      </w:r>
    </w:p>
    <w:p>
      <w:r>
        <w:rPr>
          <w:b/>
          <w:color w:val="2F5597"/>
          <w:sz w:val="22"/>
        </w:rPr>
        <w:t>2. Separate ownership</w:t>
      </w:r>
    </w:p>
    <w:p>
      <w:r>
        <w:t>Move all SVG-specific responsibility under the SVG Renderer module boundary. Keep Manual Viewer, TOC, Search and 3D behavior outside the SVG module. The objective is that changes to SVG internals remain local to the SVG capability.</w:t>
      </w:r>
    </w:p>
    <w:p>
      <w:r>
        <w:rPr>
          <w:b/>
          <w:color w:val="2F5597"/>
          <w:sz w:val="22"/>
        </w:rPr>
        <w:t>3. Define the interaction contract</w:t>
      </w:r>
    </w:p>
    <w:p>
      <w:r>
        <w:t>Agree what Manual Viewer gives to SVG Renderer and what events SVG Renderer returns. At process level, Manual Viewer provides the illustration/content reference; SVG Renderer displays it and returns relevant user interaction events such as hotspot selection. Internal rendering details are not exposed.</w:t>
      </w:r>
    </w:p>
    <w:p>
      <w:r>
        <w:rPr>
          <w:b/>
          <w:color w:val="2F5597"/>
          <w:sz w:val="22"/>
        </w:rPr>
        <w:t>4. Create the Local Swift Package</w:t>
      </w:r>
    </w:p>
    <w:p>
      <w:r>
        <w:t>Create SVGRenderer as a local package within the AirNavX repository/workspace. The package owns its implementation, package resources and unit tests. AirNavX consumes the package rather than directly owning SVG implementation files.</w:t>
      </w:r>
    </w:p>
    <w:p>
      <w:r>
        <w:rPr>
          <w:b/>
          <w:color w:val="2F5597"/>
          <w:sz w:val="22"/>
        </w:rPr>
        <w:t>5. Integrate with Manual Viewer</w:t>
      </w:r>
    </w:p>
    <w:p>
      <w:r>
        <w:t>Manual Viewer selects the appropriate renderer based on the content type. For SVG content it delegates to SVG Renderer; for HTML or future 3D content it delegates to the relevant renderer. Manual Viewer coordinates the experience but does not implement renderer-specific behavior.</w:t>
      </w:r>
    </w:p>
    <w:p>
      <w:r>
        <w:rPr>
          <w:b/>
          <w:color w:val="2F5597"/>
          <w:sz w:val="22"/>
        </w:rPr>
        <w:t>6. Establish package-level testing</w:t>
      </w:r>
    </w:p>
    <w:p>
      <w:r>
        <w:t>Run SVG Renderer unit tests for SVG-specific behavior. Add integration coverage around the Manual Viewer-to-SVG boundary. Keep critical end-to-end UI flows in AirNavXUITests so the real application path is still validated.</w:t>
      </w:r>
    </w:p>
    <w:p>
      <w:r>
        <w:rPr>
          <w:b/>
          <w:color w:val="2F5597"/>
          <w:sz w:val="22"/>
        </w:rPr>
        <w:t>7. Connect to Jenkins</w:t>
      </w:r>
    </w:p>
    <w:p>
      <w:r>
        <w:t>When SVG Renderer changes, Jenkins should execute the SVG package tests, affected integration tests and relevant AirNavX UI/smoke tests. A change to shared contracts or common Core requires a broader regression scope.</w:t>
      </w:r>
    </w:p>
    <w:p>
      <w:r>
        <w:rPr>
          <w:b/>
          <w:color w:val="2F5597"/>
          <w:sz w:val="22"/>
        </w:rPr>
        <w:t>8. Prove the pilot before expansion</w:t>
      </w:r>
    </w:p>
    <w:p>
      <w:r>
        <w:t>Use the SVG pilot to validate package creation, team ownership, dependency rules, testing and Jenkins integration. After the approach is stable, repeat the same process for 3D Model Renderer and then Manual Viewer.</w:t>
      </w:r>
    </w:p>
    <w:p>
      <w:pPr>
        <w:pStyle w:val="Heading2"/>
      </w:pPr>
      <w:r>
        <w:t>Example change flow</w:t>
      </w:r>
    </w:p>
    <w:p>
      <w:r>
        <w:t>Example: Airbus/AirNavX adds a new SVG hotspot behavior.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597"/>
          </w:tcPr>
          <w:p>
            <w:r/>
            <w:r>
              <w:rPr>
                <w:rFonts w:ascii="Aptos" w:hAnsi="Aptos"/>
                <w:b/>
                <w:color w:val="FFFFFF"/>
                <w:sz w:val="16"/>
              </w:rPr>
              <w:t>Stage</w:t>
            </w:r>
          </w:p>
        </w:tc>
        <w:tc>
          <w:tcPr>
            <w:tcW w:type="dxa" w:w="3408"/>
            <w:shd w:fill="2F5597"/>
          </w:tcPr>
          <w:p>
            <w:r/>
            <w:r>
              <w:rPr>
                <w:rFonts w:ascii="Aptos" w:hAnsi="Aptos"/>
                <w:b/>
                <w:color w:val="FFFFFF"/>
                <w:sz w:val="16"/>
              </w:rPr>
              <w:t>What happens</w:t>
            </w:r>
          </w:p>
        </w:tc>
        <w:tc>
          <w:tcPr>
            <w:tcW w:type="dxa" w:w="3408"/>
            <w:shd w:fill="2F5597"/>
          </w:tcPr>
          <w:p>
            <w:r/>
            <w:r>
              <w:rPr>
                <w:rFonts w:ascii="Aptos" w:hAnsi="Aptos"/>
                <w:b/>
                <w:color w:val="FFFFFF"/>
                <w:sz w:val="16"/>
              </w:rPr>
              <w:t>Expected impact</w:t>
            </w:r>
          </w:p>
        </w:tc>
      </w:tr>
      <w:tr>
        <w:tc>
          <w:tcPr>
            <w:tcW w:type="dxa" w:w="3408"/>
          </w:tcPr>
          <w:p>
            <w:r/>
            <w:r>
              <w:rPr>
                <w:rFonts w:ascii="Aptos" w:hAnsi="Aptos"/>
                <w:b w:val="0"/>
                <w:sz w:val="16"/>
              </w:rPr>
              <w:t>Requirement</w:t>
            </w:r>
          </w:p>
        </w:tc>
        <w:tc>
          <w:tcPr>
            <w:tcW w:type="dxa" w:w="3408"/>
          </w:tcPr>
          <w:p>
            <w:r/>
            <w:r>
              <w:rPr>
                <w:rFonts w:ascii="Aptos" w:hAnsi="Aptos"/>
                <w:b w:val="0"/>
                <w:sz w:val="16"/>
              </w:rPr>
              <w:t>New hotspot behavior is identified as an SVG capability.</w:t>
            </w:r>
          </w:p>
        </w:tc>
        <w:tc>
          <w:tcPr>
            <w:tcW w:type="dxa" w:w="3408"/>
          </w:tcPr>
          <w:p>
            <w:r/>
            <w:r>
              <w:rPr>
                <w:rFonts w:ascii="Aptos" w:hAnsi="Aptos"/>
                <w:b w:val="0"/>
                <w:sz w:val="16"/>
              </w:rPr>
              <w:t>Primary change stays with SVG Renderer.</w:t>
            </w:r>
          </w:p>
        </w:tc>
      </w:tr>
      <w:tr>
        <w:tc>
          <w:tcPr>
            <w:tcW w:type="dxa" w:w="3408"/>
          </w:tcPr>
          <w:p>
            <w:r/>
            <w:r>
              <w:rPr>
                <w:rFonts w:ascii="Aptos" w:hAnsi="Aptos"/>
                <w:b w:val="0"/>
                <w:sz w:val="16"/>
              </w:rPr>
              <w:t>Development</w:t>
            </w:r>
          </w:p>
        </w:tc>
        <w:tc>
          <w:tcPr>
            <w:tcW w:type="dxa" w:w="3408"/>
          </w:tcPr>
          <w:p>
            <w:r/>
            <w:r>
              <w:rPr>
                <w:rFonts w:ascii="Aptos" w:hAnsi="Aptos"/>
                <w:b w:val="0"/>
                <w:sz w:val="16"/>
              </w:rPr>
              <w:t>SVG Renderer implementation is enhanced behind its existing module boundary.</w:t>
            </w:r>
          </w:p>
        </w:tc>
        <w:tc>
          <w:tcPr>
            <w:tcW w:type="dxa" w:w="3408"/>
          </w:tcPr>
          <w:p>
            <w:r/>
            <w:r>
              <w:rPr>
                <w:rFonts w:ascii="Aptos" w:hAnsi="Aptos"/>
                <w:b w:val="0"/>
                <w:sz w:val="16"/>
              </w:rPr>
              <w:t>Manual Viewer should need little or no change if the interaction contract remains stable.</w:t>
            </w:r>
          </w:p>
        </w:tc>
      </w:tr>
      <w:tr>
        <w:tc>
          <w:tcPr>
            <w:tcW w:type="dxa" w:w="3408"/>
          </w:tcPr>
          <w:p>
            <w:r/>
            <w:r>
              <w:rPr>
                <w:rFonts w:ascii="Aptos" w:hAnsi="Aptos"/>
                <w:b w:val="0"/>
                <w:sz w:val="16"/>
              </w:rPr>
              <w:t>Unit testing</w:t>
            </w:r>
          </w:p>
        </w:tc>
        <w:tc>
          <w:tcPr>
            <w:tcW w:type="dxa" w:w="3408"/>
          </w:tcPr>
          <w:p>
            <w:r/>
            <w:r>
              <w:rPr>
                <w:rFonts w:ascii="Aptos" w:hAnsi="Aptos"/>
                <w:b w:val="0"/>
                <w:sz w:val="16"/>
              </w:rPr>
              <w:t>SVG package tests validate the renderer behavior.</w:t>
            </w:r>
          </w:p>
        </w:tc>
        <w:tc>
          <w:tcPr>
            <w:tcW w:type="dxa" w:w="3408"/>
          </w:tcPr>
          <w:p>
            <w:r/>
            <w:r>
              <w:rPr>
                <w:rFonts w:ascii="Aptos" w:hAnsi="Aptos"/>
                <w:b w:val="0"/>
                <w:sz w:val="16"/>
              </w:rPr>
              <w:t>Fast module-level feedback.</w:t>
            </w:r>
          </w:p>
        </w:tc>
      </w:tr>
      <w:tr>
        <w:tc>
          <w:tcPr>
            <w:tcW w:type="dxa" w:w="3408"/>
          </w:tcPr>
          <w:p>
            <w:r/>
            <w:r>
              <w:rPr>
                <w:rFonts w:ascii="Aptos" w:hAnsi="Aptos"/>
                <w:b w:val="0"/>
                <w:sz w:val="16"/>
              </w:rPr>
              <w:t>Integration testing</w:t>
            </w:r>
          </w:p>
        </w:tc>
        <w:tc>
          <w:tcPr>
            <w:tcW w:type="dxa" w:w="3408"/>
          </w:tcPr>
          <w:p>
            <w:r/>
            <w:r>
              <w:rPr>
                <w:rFonts w:ascii="Aptos" w:hAnsi="Aptos"/>
                <w:b w:val="0"/>
                <w:sz w:val="16"/>
              </w:rPr>
              <w:t>Manual Viewer-to-SVG interaction is validated.</w:t>
            </w:r>
          </w:p>
        </w:tc>
        <w:tc>
          <w:tcPr>
            <w:tcW w:type="dxa" w:w="3408"/>
          </w:tcPr>
          <w:p>
            <w:r/>
            <w:r>
              <w:rPr>
                <w:rFonts w:ascii="Aptos" w:hAnsi="Aptos"/>
                <w:b w:val="0"/>
                <w:sz w:val="16"/>
              </w:rPr>
              <w:t>Confirms the package contract is still working.</w:t>
            </w:r>
          </w:p>
        </w:tc>
      </w:tr>
      <w:tr>
        <w:tc>
          <w:tcPr>
            <w:tcW w:type="dxa" w:w="3408"/>
          </w:tcPr>
          <w:p>
            <w:r/>
            <w:r>
              <w:rPr>
                <w:rFonts w:ascii="Aptos" w:hAnsi="Aptos"/>
                <w:b w:val="0"/>
                <w:sz w:val="16"/>
              </w:rPr>
              <w:t>UI / smoke testing</w:t>
            </w:r>
          </w:p>
        </w:tc>
        <w:tc>
          <w:tcPr>
            <w:tcW w:type="dxa" w:w="3408"/>
          </w:tcPr>
          <w:p>
            <w:r/>
            <w:r>
              <w:rPr>
                <w:rFonts w:ascii="Aptos" w:hAnsi="Aptos"/>
                <w:b w:val="0"/>
                <w:sz w:val="16"/>
              </w:rPr>
              <w:t>AirNavX opens a manual and an SVG illustration through the real user flow.</w:t>
            </w:r>
          </w:p>
        </w:tc>
        <w:tc>
          <w:tcPr>
            <w:tcW w:type="dxa" w:w="3408"/>
          </w:tcPr>
          <w:p>
            <w:r/>
            <w:r>
              <w:rPr>
                <w:rFonts w:ascii="Aptos" w:hAnsi="Aptos"/>
                <w:b w:val="0"/>
                <w:sz w:val="16"/>
              </w:rPr>
              <w:t>Confirms application-level integration.</w:t>
            </w:r>
          </w:p>
        </w:tc>
      </w:tr>
      <w:tr>
        <w:tc>
          <w:tcPr>
            <w:tcW w:type="dxa" w:w="3408"/>
          </w:tcPr>
          <w:p>
            <w:r/>
            <w:r>
              <w:rPr>
                <w:rFonts w:ascii="Aptos" w:hAnsi="Aptos"/>
                <w:b w:val="0"/>
                <w:sz w:val="16"/>
              </w:rPr>
              <w:t>Regression decision</w:t>
            </w:r>
          </w:p>
        </w:tc>
        <w:tc>
          <w:tcPr>
            <w:tcW w:type="dxa" w:w="3408"/>
          </w:tcPr>
          <w:p>
            <w:r/>
            <w:r>
              <w:rPr>
                <w:rFonts w:ascii="Aptos" w:hAnsi="Aptos"/>
                <w:b w:val="0"/>
                <w:sz w:val="16"/>
              </w:rPr>
              <w:t>Unchanged, unrelated modules are not the primary detailed regression target.</w:t>
            </w:r>
          </w:p>
        </w:tc>
        <w:tc>
          <w:tcPr>
            <w:tcW w:type="dxa" w:w="3408"/>
          </w:tcPr>
          <w:p>
            <w:r/>
            <w:r>
              <w:rPr>
                <w:rFonts w:ascii="Aptos" w:hAnsi="Aptos"/>
                <w:b w:val="0"/>
                <w:sz w:val="16"/>
              </w:rPr>
              <w:t>Regression scope is reduced, but critical app-level validation remains.</w:t>
            </w:r>
          </w:p>
        </w:tc>
      </w:tr>
    </w:tbl>
    <w:p>
      <w:pPr>
        <w:pStyle w:val="Heading2"/>
      </w:pPr>
      <w:r>
        <w:t>Pilot success criteria</w:t>
      </w:r>
    </w:p>
    <w:p>
      <w:pPr>
        <w:pStyle w:val="ListBullet"/>
      </w:pPr>
      <w:r>
        <w:t>SVG Renderer has a clear business/technical responsibility and ownership.</w:t>
      </w:r>
    </w:p>
    <w:p>
      <w:pPr>
        <w:pStyle w:val="ListBullet"/>
      </w:pPr>
      <w:r>
        <w:t>Manual Viewer accesses SVG capability only through the agreed package boundary.</w:t>
      </w:r>
    </w:p>
    <w:p>
      <w:pPr>
        <w:pStyle w:val="ListBullet"/>
      </w:pPr>
      <w:r>
        <w:t>SVG changes can be developed and unit-tested without modifying unrelated modules.</w:t>
      </w:r>
    </w:p>
    <w:p>
      <w:pPr>
        <w:pStyle w:val="ListBullet"/>
      </w:pPr>
      <w:r>
        <w:t>Integration and critical AirNavX UI tests continue to validate the complete user flow.</w:t>
      </w:r>
    </w:p>
    <w:p>
      <w:pPr>
        <w:pStyle w:val="ListBullet"/>
      </w:pPr>
      <w:r>
        <w:t>Jenkins can identify and execute the relevant package and application test suites.</w:t>
      </w:r>
    </w:p>
    <w:p>
      <w:pPr>
        <w:pStyle w:val="ListBullet"/>
      </w:pPr>
      <w:r>
        <w:t>The same modularization pattern can be repeated for 3D Model Renderer.</w:t>
      </w:r>
    </w:p>
    <w:p>
      <w:pPr>
        <w:pStyle w:val="Heading1"/>
      </w:pPr>
      <w:r>
        <w:t>12. References</w:t>
      </w:r>
    </w:p>
    <w:p>
      <w:pPr>
        <w:pStyle w:val="ListBullet"/>
      </w:pPr>
      <w:r>
        <w:rPr>
          <w:b/>
        </w:rPr>
        <w:t xml:space="preserve">Apple Developer Documentation - Swift packages: </w:t>
      </w:r>
      <w:r>
        <w:t>https://developer.apple.com/documentation/xcode/swift-packages</w:t>
      </w:r>
    </w:p>
    <w:p>
      <w:pPr>
        <w:pStyle w:val="ListBullet"/>
      </w:pPr>
      <w:r>
        <w:rPr>
          <w:b/>
        </w:rPr>
        <w:t xml:space="preserve">Swift Package Manager Documentation: </w:t>
      </w:r>
      <w:r>
        <w:t>https://docs.swift.org/latest/documentation/packagemanagerdocs/</w:t>
      </w:r>
    </w:p>
    <w:p>
      <w:pPr>
        <w:pStyle w:val="ListBullet"/>
      </w:pPr>
      <w:r>
        <w:rPr>
          <w:b/>
        </w:rPr>
        <w:t xml:space="preserve">Swift.org - Packages: </w:t>
      </w:r>
      <w:r>
        <w:t>https://www.swift.org/packages/</w:t>
      </w:r>
    </w:p>
    <w:p>
      <w:pPr>
        <w:pStyle w:val="ListBullet"/>
      </w:pPr>
      <w:r>
        <w:rPr>
          <w:b/>
        </w:rPr>
        <w:t xml:space="preserve">Swift.org - Documenting a Swift Framework or Package: </w:t>
      </w:r>
      <w:r>
        <w:t>https://www.swift.org/documentation/docc/documenting-a-swift-framework-or-package</w:t>
      </w:r>
    </w:p>
    <w:p>
      <w:pPr>
        <w:pStyle w:val="ListBullet"/>
      </w:pPr>
      <w:r>
        <w:rPr>
          <w:b/>
        </w:rPr>
        <w:t xml:space="preserve">Internal reference - AirNavX Technology Evaluation: </w:t>
      </w:r>
      <w:r>
        <w:t>AirNavX_Technology_Evaluation.fixed.pptx and related architecture drafts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AirNavX | Modular Architecture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AirNavX Modular Architecture Approaches - Updated</dc:title>
  <dc:subject>Evaluation of modularization approaches and recommendation for Local Swift Packages</dc:subject>
  <dc:creator>Attili Naga Srinivasu</dc:creator>
  <keywords>AirNavX, Swift Package Manager, Local Swift Packages, modular architecture, testing</keywords>
  <dc:description>generated by python-docx</dc:description>
  <lastModifiedBy>Attili Naga Srinivasu</lastModifiedBy>
  <revision>1</revision>
  <dcterms:created xsi:type="dcterms:W3CDTF">2026-10-26T16:45:56.2729638Z</dcterms:created>
  <dcterms:modified xsi:type="dcterms:W3CDTF">2026-10-26T16:45:56.2729638Z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2026-10-26T16:45:56Z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88db451e-0fb0-409e-be4c-ddfc644873c3</vt:lpwstr>
  </property>
  <property fmtid="{D5CDD505-2E9C-101B-9397-08002B2CF9AE}" pid="8" name="MSIP_Label_3bb46c77-3b58-4101-b463-cd3b3d516e4a_ContentBits">
    <vt:lpwstr>0</vt:lpwstr>
  </property>
</Properties>
</file>