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healthcare_coding_systems_kpi_fra_69b84f"/>
      <w:r>
        <w:rPr>
          <w:b/>
          <w:sz w:val="56"/>
        </w:rPr>
        <w:t xml:space="preserve">Healthcare Coding Systems: KPI Framework for Data Engineering Projects</w:t>
      </w:r>
      <w:bookmarkEnd w:id="0"/>
    </w:p>
    <w:p>
      <w:pPr>
        <w:spacing w:line="271" w:before="240" w:lineRule="auto"/>
      </w:pPr>
      <w:bookmarkStart w:id="1" w:name="executive_summary"/>
      <w:r>
        <w:rPr>
          <w:b/>
          <w:sz w:val="42"/>
        </w:rPr>
        <w:t xml:space="preserve">Executive Summary</w:t>
      </w:r>
      <w:bookmarkEnd w:id="1"/>
    </w:p>
    <w:p>
      <w:pPr>
        <w:spacing w:after="210" w:lineRule="auto"/>
      </w:pPr>
      <w:r>
        <w:rPr/>
        <w:t xml:space="preserve">This document outlines key performance indicators (KPIs) for data engineering projects involving ICD (International Classification of Disease) and CPT (Current Procedural Terminology) codes in healthcare billing systems. These coding systems form the backbone of healthcare data pipelines, processing millions of claims annually and requiring robust data engineering solutions for accuracy, efficiency, and compliance[1][2].</w:t>
      </w:r>
    </w:p>
    <w:p>
      <w:pPr>
        <w:spacing w:line="271" w:before="240" w:lineRule="auto"/>
      </w:pPr>
      <w:bookmarkStart w:id="2" w:name="understanding_healthcare_coding_systems"/>
      <w:r>
        <w:rPr>
          <w:b/>
          <w:sz w:val="42"/>
        </w:rPr>
        <w:t xml:space="preserve">Understanding Healthcare Coding Systems</w:t>
      </w:r>
      <w:bookmarkEnd w:id="2"/>
    </w:p>
    <w:p>
      <w:pPr>
        <w:spacing w:line="271" w:before="240" w:lineRule="auto"/>
      </w:pPr>
      <w:bookmarkStart w:id="3" w:name="icd_codes_diagnosis_tracking"/>
      <w:r>
        <w:rPr>
          <w:b/>
          <w:sz w:val="33"/>
        </w:rPr>
        <w:t xml:space="preserve">ICD Codes: Diagnosis Tracking</w:t>
      </w:r>
      <w:bookmarkEnd w:id="3"/>
    </w:p>
    <w:p>
      <w:pPr>
        <w:spacing w:after="210" w:lineRule="auto"/>
      </w:pPr>
      <w:r>
        <w:rPr>
          <w:b/>
        </w:rPr>
        <w:t xml:space="preserve">ICD codes</w:t>
      </w:r>
      <w:r>
        <w:rPr/>
        <w:t xml:space="preserve"> describe patient diagnoses and medical conditions. Developed by the World Health Organization (WHO), these codes serve dual purposes[1]:</w:t>
      </w:r>
    </w:p>
    <w:p>
      <w:pPr>
        <w:numPr>
          <w:ilvl w:val="0"/>
          <w:numId w:val="1"/>
        </w:numPr>
        <w:spacing w:lineRule="auto"/>
      </w:pPr>
      <w:r>
        <w:rPr/>
        <w:t xml:space="preserve">Healthcare billing and claims processing</w:t>
      </w:r>
    </w:p>
    <w:p>
      <w:pPr>
        <w:numPr>
          <w:ilvl w:val="0"/>
          <w:numId w:val="1"/>
        </w:numPr>
        <w:spacing w:lineRule="auto"/>
      </w:pPr>
      <w:r>
        <w:rPr/>
        <w:t xml:space="preserve">Global health trend identification and disease surveillance</w:t>
      </w:r>
    </w:p>
    <w:p>
      <w:pPr>
        <w:spacing w:after="210" w:lineRule="auto"/>
      </w:pPr>
      <w:r>
        <w:rPr>
          <w:b/>
        </w:rPr>
        <w:t xml:space="preserve">Update Frequency</w:t>
      </w:r>
      <w:r>
        <w:rPr/>
        <w:t xml:space="preserve">: Minor updates every 1-4 years; major versions infrequently (ICD-10: 1994, ICD-11: 2022)[1]</w:t>
      </w:r>
    </w:p>
    <w:p>
      <w:pPr>
        <w:spacing w:line="271" w:before="240" w:lineRule="auto"/>
      </w:pPr>
      <w:bookmarkStart w:id="4" w:name="cpt_codes_procedure_documentation"/>
      <w:r>
        <w:rPr>
          <w:b/>
          <w:sz w:val="33"/>
        </w:rPr>
        <w:t xml:space="preserve">CPT Codes: Procedure Documentation</w:t>
      </w:r>
      <w:bookmarkEnd w:id="4"/>
    </w:p>
    <w:p>
      <w:pPr>
        <w:spacing w:after="210" w:lineRule="auto"/>
      </w:pPr>
      <w:r>
        <w:rPr>
          <w:b/>
        </w:rPr>
        <w:t xml:space="preserve">CPT codes</w:t>
      </w:r>
      <w:r>
        <w:rPr/>
        <w:t xml:space="preserve"> describe clinical procedures and healthcare services performed. Developed by the American Medical Association (AMA), these codes standardize procedural language across U.S. healthcare systems[1].</w:t>
      </w:r>
    </w:p>
    <w:p>
      <w:pPr>
        <w:spacing w:after="210" w:lineRule="auto"/>
      </w:pPr>
      <w:r>
        <w:rPr>
          <w:b/>
        </w:rPr>
        <w:t xml:space="preserve">Update Frequency</w:t>
      </w:r>
      <w:r>
        <w:rPr/>
        <w:t xml:space="preserve">: Multiple releases per year to accommodate new medical procedures and technologies[1]</w:t>
      </w:r>
    </w:p>
    <w:p>
      <w:pPr>
        <w:spacing w:line="271" w:before="240" w:lineRule="auto"/>
      </w:pPr>
      <w:bookmarkStart w:id="5" w:name="key_relationship"/>
      <w:r>
        <w:rPr>
          <w:b/>
          <w:sz w:val="33"/>
        </w:rPr>
        <w:t xml:space="preserve">Key Relationship</w:t>
      </w:r>
      <w:bookmarkEnd w:id="5"/>
    </w:p>
    <w:p>
      <w:pPr>
        <w:spacing w:after="210" w:lineRule="auto"/>
      </w:pPr>
      <w:r>
        <w:rPr/>
        <w:t xml:space="preserve">ICD and CPT codes work together to provide complete claim information[1]:</w:t>
      </w:r>
    </w:p>
    <w:p>
      <w:pPr>
        <w:numPr>
          <w:ilvl w:val="0"/>
          <w:numId w:val="2"/>
        </w:numPr>
        <w:spacing w:lineRule="auto"/>
      </w:pPr>
      <w:r>
        <w:rPr>
          <w:b/>
        </w:rPr>
        <w:t xml:space="preserve">CPT codes</w:t>
      </w:r>
      <w:r>
        <w:rPr/>
        <w:t xml:space="preserve">: What service was performed</w:t>
      </w:r>
    </w:p>
    <w:p>
      <w:pPr>
        <w:numPr>
          <w:ilvl w:val="0"/>
          <w:numId w:val="2"/>
        </w:numPr>
        <w:spacing w:lineRule="auto"/>
      </w:pPr>
      <w:r>
        <w:rPr>
          <w:b/>
        </w:rPr>
        <w:t xml:space="preserve">ICD codes</w:t>
      </w:r>
      <w:r>
        <w:rPr/>
        <w:t xml:space="preserve">: Why the service was performed (medical necessity)</w:t>
      </w:r>
    </w:p>
    <w:p>
      <w:pPr>
        <w:spacing w:line="271" w:before="240" w:lineRule="auto"/>
      </w:pPr>
      <w:bookmarkStart w:id="6" w:name="data_engineering_kpis_for_healthc_6aec2b"/>
      <w:r>
        <w:rPr>
          <w:b/>
          <w:sz w:val="42"/>
        </w:rPr>
        <w:t xml:space="preserve">Data Engineering KPIs for Healthcare Coding Projects</w:t>
      </w:r>
      <w:bookmarkEnd w:id="6"/>
    </w:p>
    <w:p>
      <w:pPr>
        <w:spacing w:line="271" w:before="240" w:lineRule="auto"/>
      </w:pPr>
      <w:bookmarkStart w:id="7" w:name="bm_1_data_quality_and_accuracy_kpis"/>
      <w:r>
        <w:rPr>
          <w:b/>
          <w:sz w:val="33"/>
        </w:rPr>
        <w:t xml:space="preserve">1. Data Quality and Accuracy KPIs</w:t>
      </w:r>
      <w:bookmarkEnd w:id="7"/>
    </w:p>
    <w:p>
      <w:pPr>
        <w:spacing w:line="271" w:before="240" w:lineRule="auto"/>
      </w:pPr>
      <w:bookmarkStart w:id="8" w:name="code_validation_accuracy_rate"/>
      <w:r>
        <w:rPr>
          <w:b/>
          <w:sz w:val="28"/>
        </w:rPr>
        <w:t xml:space="preserve">Code Validation Accuracy Rate</w:t>
      </w:r>
      <w:bookmarkEnd w:id="8"/>
    </w:p>
    <w:p>
      <w:pPr>
        <w:spacing w:after="210" w:lineRule="auto"/>
      </w:pPr>
      <w:r>
        <w:rPr>
          <w:b/>
        </w:rPr>
        <w:t xml:space="preserve">Target</w:t>
      </w:r>
      <w:r>
        <w:rPr>
          <w:rFonts w:eastAsia="Georgia" w:cs="Georgia" w:ascii="Georgia" w:hAnsi="Georgia"/>
        </w:rPr>
        <w:t xml:space="preserve">: ≥99.5%</w:t>
      </w:r>
    </w:p>
    <w:p>
      <w:pPr>
        <w:numPr>
          <w:ilvl w:val="0"/>
          <w:numId w:val="3"/>
        </w:numPr>
        <w:spacing w:lineRule="auto"/>
      </w:pPr>
      <w:r>
        <w:rPr/>
        <w:t xml:space="preserve">Percentage of codes correctly validated against official ICD-10/ICD-11 and CPT databases</w:t>
      </w:r>
    </w:p>
    <w:p>
      <w:pPr>
        <w:numPr>
          <w:ilvl w:val="0"/>
          <w:numId w:val="3"/>
        </w:numPr>
        <w:spacing w:lineRule="auto"/>
      </w:pPr>
      <w:r>
        <w:rPr>
          <w:rFonts w:eastAsia="Georgia" w:cs="Georgia" w:ascii="Georgia" w:hAnsi="Georgia"/>
        </w:rPr>
        <w:t xml:space="preserve">Measure: (Valid codes / Total codes processed) × 100</w:t>
      </w:r>
    </w:p>
    <w:p>
      <w:pPr>
        <w:numPr>
          <w:ilvl w:val="0"/>
          <w:numId w:val="3"/>
        </w:numPr>
        <w:spacing w:lineRule="auto"/>
      </w:pPr>
      <w:r>
        <w:rPr/>
        <w:t xml:space="preserve">Critical for claim acceptance and reimbursement success</w:t>
      </w:r>
    </w:p>
    <w:p>
      <w:pPr>
        <w:spacing w:line="271" w:before="240" w:lineRule="auto"/>
      </w:pPr>
      <w:bookmarkStart w:id="9" w:name="code_pairing_accuracy"/>
      <w:r>
        <w:rPr>
          <w:b/>
          <w:sz w:val="28"/>
        </w:rPr>
        <w:t xml:space="preserve">Code-Pairing Accuracy</w:t>
      </w:r>
      <w:bookmarkEnd w:id="9"/>
    </w:p>
    <w:p>
      <w:pPr>
        <w:spacing w:after="210" w:lineRule="auto"/>
      </w:pPr>
      <w:r>
        <w:rPr>
          <w:b/>
        </w:rPr>
        <w:t xml:space="preserve">Target</w:t>
      </w:r>
      <w:r>
        <w:rPr>
          <w:rFonts w:eastAsia="Georgia" w:cs="Georgia" w:ascii="Georgia" w:hAnsi="Georgia"/>
        </w:rPr>
        <w:t xml:space="preserve">: ≥98%</w:t>
      </w:r>
    </w:p>
    <w:p>
      <w:pPr>
        <w:numPr>
          <w:ilvl w:val="0"/>
          <w:numId w:val="4"/>
        </w:numPr>
        <w:spacing w:lineRule="auto"/>
      </w:pPr>
      <w:r>
        <w:rPr/>
        <w:t xml:space="preserve">Accuracy of ICD-CPT code pairing for medical necessity verification</w:t>
      </w:r>
    </w:p>
    <w:p>
      <w:pPr>
        <w:numPr>
          <w:ilvl w:val="0"/>
          <w:numId w:val="4"/>
        </w:numPr>
        <w:spacing w:lineRule="auto"/>
      </w:pPr>
      <w:r>
        <w:rPr/>
        <w:t xml:space="preserve">Detects inappropriate code combinations that may trigger claim rejections</w:t>
      </w:r>
    </w:p>
    <w:p>
      <w:pPr>
        <w:numPr>
          <w:ilvl w:val="0"/>
          <w:numId w:val="4"/>
        </w:numPr>
        <w:spacing w:lineRule="auto"/>
      </w:pPr>
      <w:r>
        <w:rPr>
          <w:rFonts w:eastAsia="Georgia" w:cs="Georgia" w:ascii="Georgia" w:hAnsi="Georgia"/>
        </w:rPr>
        <w:t xml:space="preserve">Measure: (Correctly paired codes / Total code pairs) × 100</w:t>
      </w:r>
    </w:p>
    <w:p>
      <w:pPr>
        <w:spacing w:line="271" w:before="240" w:lineRule="auto"/>
      </w:pPr>
      <w:bookmarkStart w:id="10" w:name="data_completeness_rate"/>
      <w:r>
        <w:rPr>
          <w:b/>
          <w:sz w:val="28"/>
        </w:rPr>
        <w:t xml:space="preserve">Data Completeness Rate</w:t>
      </w:r>
      <w:bookmarkEnd w:id="10"/>
    </w:p>
    <w:p>
      <w:pPr>
        <w:spacing w:after="210" w:lineRule="auto"/>
      </w:pPr>
      <w:r>
        <w:rPr>
          <w:b/>
        </w:rPr>
        <w:t xml:space="preserve">Target</w:t>
      </w:r>
      <w:r>
        <w:rPr>
          <w:rFonts w:eastAsia="Georgia" w:cs="Georgia" w:ascii="Georgia" w:hAnsi="Georgia"/>
        </w:rPr>
        <w:t xml:space="preserve">: ≥99%</w:t>
      </w:r>
    </w:p>
    <w:p>
      <w:pPr>
        <w:numPr>
          <w:ilvl w:val="0"/>
          <w:numId w:val="5"/>
        </w:numPr>
        <w:spacing w:lineRule="auto"/>
      </w:pPr>
      <w:r>
        <w:rPr/>
        <w:t xml:space="preserve">Percentage of claims with both ICD and CPT codes populated</w:t>
      </w:r>
    </w:p>
    <w:p>
      <w:pPr>
        <w:numPr>
          <w:ilvl w:val="0"/>
          <w:numId w:val="5"/>
        </w:numPr>
        <w:spacing w:lineRule="auto"/>
      </w:pPr>
      <w:r>
        <w:rPr/>
        <w:t xml:space="preserve">Missing codes result in automatic claim rejections</w:t>
      </w:r>
    </w:p>
    <w:p>
      <w:pPr>
        <w:numPr>
          <w:ilvl w:val="0"/>
          <w:numId w:val="5"/>
        </w:numPr>
        <w:spacing w:lineRule="auto"/>
      </w:pPr>
      <w:r>
        <w:rPr>
          <w:rFonts w:eastAsia="Georgia" w:cs="Georgia" w:ascii="Georgia" w:hAnsi="Georgia"/>
        </w:rPr>
        <w:t xml:space="preserve">Measure: (Complete records / Total records) × 100</w:t>
      </w:r>
    </w:p>
    <w:p>
      <w:pPr>
        <w:spacing w:line="271" w:before="240" w:lineRule="auto"/>
      </w:pPr>
      <w:bookmarkStart w:id="11" w:name="bm_2_pipeline_performance_kpis"/>
      <w:r>
        <w:rPr>
          <w:b/>
          <w:sz w:val="33"/>
        </w:rPr>
        <w:t xml:space="preserve">2. Pipeline Performance KPIs</w:t>
      </w:r>
      <w:bookmarkEnd w:id="11"/>
    </w:p>
    <w:p>
      <w:pPr>
        <w:spacing w:line="271" w:before="240" w:lineRule="auto"/>
      </w:pPr>
      <w:bookmarkStart w:id="12" w:name="data_processing_throughput"/>
      <w:r>
        <w:rPr>
          <w:b/>
          <w:sz w:val="28"/>
        </w:rPr>
        <w:t xml:space="preserve">Data Processing Throughput</w:t>
      </w:r>
      <w:bookmarkEnd w:id="12"/>
    </w:p>
    <w:p>
      <w:pPr>
        <w:spacing w:after="210" w:lineRule="auto"/>
      </w:pPr>
      <w:r>
        <w:rPr>
          <w:b/>
        </w:rPr>
        <w:t xml:space="preserve">Target</w:t>
      </w:r>
      <w:r>
        <w:rPr/>
        <w:t xml:space="preserve">: Process millions of claims daily</w:t>
      </w:r>
    </w:p>
    <w:p>
      <w:pPr>
        <w:numPr>
          <w:ilvl w:val="0"/>
          <w:numId w:val="6"/>
        </w:numPr>
        <w:spacing w:lineRule="auto"/>
      </w:pPr>
      <w:r>
        <w:rPr/>
        <w:t xml:space="preserve">Claims processed per hour/day</w:t>
      </w:r>
    </w:p>
    <w:p>
      <w:pPr>
        <w:numPr>
          <w:ilvl w:val="0"/>
          <w:numId w:val="6"/>
        </w:numPr>
        <w:spacing w:lineRule="auto"/>
      </w:pPr>
      <w:r>
        <w:rPr/>
        <w:t xml:space="preserve">Critical given that large payers receive millions of claims annually[1]</w:t>
      </w:r>
    </w:p>
    <w:p>
      <w:pPr>
        <w:numPr>
          <w:ilvl w:val="0"/>
          <w:numId w:val="6"/>
        </w:numPr>
        <w:spacing w:lineRule="auto"/>
      </w:pPr>
      <w:r>
        <w:rPr/>
        <w:t xml:space="preserve">Measure: Total claims processed / Time period</w:t>
      </w:r>
    </w:p>
    <w:p>
      <w:pPr>
        <w:spacing w:line="271" w:before="240" w:lineRule="auto"/>
      </w:pPr>
      <w:bookmarkStart w:id="13" w:name="pipeline_latency"/>
      <w:r>
        <w:rPr>
          <w:b/>
          <w:sz w:val="28"/>
        </w:rPr>
        <w:t xml:space="preserve">Pipeline Latency</w:t>
      </w:r>
      <w:bookmarkEnd w:id="13"/>
    </w:p>
    <w:p>
      <w:pPr>
        <w:spacing w:after="210" w:lineRule="auto"/>
      </w:pPr>
      <w:r>
        <w:rPr>
          <w:b/>
        </w:rPr>
        <w:t xml:space="preserve">Target</w:t>
      </w:r>
      <w:r>
        <w:rPr/>
        <w:t xml:space="preserve">: &lt;2 hours for batch processing, &lt;5 minutes for real-time</w:t>
      </w:r>
    </w:p>
    <w:p>
      <w:pPr>
        <w:numPr>
          <w:ilvl w:val="0"/>
          <w:numId w:val="7"/>
        </w:numPr>
        <w:spacing w:lineRule="auto"/>
      </w:pPr>
      <w:r>
        <w:rPr/>
        <w:t xml:space="preserve">Time from claim submission to code validation completion</w:t>
      </w:r>
    </w:p>
    <w:p>
      <w:pPr>
        <w:numPr>
          <w:ilvl w:val="0"/>
          <w:numId w:val="7"/>
        </w:numPr>
        <w:spacing w:lineRule="auto"/>
      </w:pPr>
      <w:r>
        <w:rPr/>
        <w:t xml:space="preserve">Affects billing cycle speed and cash flow</w:t>
      </w:r>
    </w:p>
    <w:p>
      <w:pPr>
        <w:numPr>
          <w:ilvl w:val="0"/>
          <w:numId w:val="7"/>
        </w:numPr>
        <w:spacing w:lineRule="auto"/>
      </w:pPr>
      <w:r>
        <w:rPr/>
        <w:t xml:space="preserve">Measure: Average time between ingestion and validation completion</w:t>
      </w:r>
    </w:p>
    <w:p>
      <w:pPr>
        <w:spacing w:line="271" w:before="240" w:lineRule="auto"/>
      </w:pPr>
      <w:bookmarkStart w:id="14" w:name="system_uptime"/>
      <w:r>
        <w:rPr>
          <w:b/>
          <w:sz w:val="28"/>
        </w:rPr>
        <w:t xml:space="preserve">System Uptime</w:t>
      </w:r>
      <w:bookmarkEnd w:id="14"/>
    </w:p>
    <w:p>
      <w:pPr>
        <w:spacing w:after="210" w:lineRule="auto"/>
      </w:pPr>
      <w:r>
        <w:rPr>
          <w:b/>
        </w:rPr>
        <w:t xml:space="preserve">Target</w:t>
      </w:r>
      <w:r>
        <w:rPr>
          <w:rFonts w:eastAsia="Georgia" w:cs="Georgia" w:ascii="Georgia" w:hAnsi="Georgia"/>
        </w:rPr>
        <w:t xml:space="preserve">: ≥99.9%</w:t>
      </w:r>
    </w:p>
    <w:p>
      <w:pPr>
        <w:numPr>
          <w:ilvl w:val="0"/>
          <w:numId w:val="8"/>
        </w:numPr>
        <w:spacing w:lineRule="auto"/>
      </w:pPr>
      <w:r>
        <w:rPr/>
        <w:t xml:space="preserve">Availability of code validation and processing systems</w:t>
      </w:r>
    </w:p>
    <w:p>
      <w:pPr>
        <w:numPr>
          <w:ilvl w:val="0"/>
          <w:numId w:val="8"/>
        </w:numPr>
        <w:spacing w:lineRule="auto"/>
      </w:pPr>
      <w:r>
        <w:rPr/>
        <w:t xml:space="preserve">Downtime directly impacts revenue cycle operations</w:t>
      </w:r>
    </w:p>
    <w:p>
      <w:pPr>
        <w:numPr>
          <w:ilvl w:val="0"/>
          <w:numId w:val="8"/>
        </w:numPr>
        <w:spacing w:lineRule="auto"/>
      </w:pPr>
      <w:r>
        <w:rPr>
          <w:rFonts w:eastAsia="Georgia" w:cs="Georgia" w:ascii="Georgia" w:hAnsi="Georgia"/>
        </w:rPr>
        <w:t xml:space="preserve">Measure: (Available time / Total time) × 100</w:t>
      </w:r>
    </w:p>
    <w:p>
      <w:pPr>
        <w:spacing w:line="271" w:before="240" w:lineRule="auto"/>
      </w:pPr>
      <w:bookmarkStart w:id="15" w:name="bm_3_code_currency_and_compliance_kpis"/>
      <w:r>
        <w:rPr>
          <w:b/>
          <w:sz w:val="33"/>
        </w:rPr>
        <w:t xml:space="preserve">3. Code Currency and Compliance KPIs</w:t>
      </w:r>
      <w:bookmarkEnd w:id="15"/>
    </w:p>
    <w:p>
      <w:pPr>
        <w:spacing w:line="271" w:before="240" w:lineRule="auto"/>
      </w:pPr>
      <w:bookmarkStart w:id="16" w:name="code_update_sync_rate"/>
      <w:r>
        <w:rPr>
          <w:b/>
          <w:sz w:val="28"/>
        </w:rPr>
        <w:t xml:space="preserve">Code Update Sync Rate</w:t>
      </w:r>
      <w:bookmarkEnd w:id="16"/>
    </w:p>
    <w:p>
      <w:pPr>
        <w:spacing w:after="210" w:lineRule="auto"/>
      </w:pPr>
      <w:r>
        <w:rPr>
          <w:b/>
        </w:rPr>
        <w:t xml:space="preserve">Target</w:t>
      </w:r>
      <w:r>
        <w:rPr/>
        <w:t xml:space="preserve">: 100% within 24 hours of release</w:t>
      </w:r>
    </w:p>
    <w:p>
      <w:pPr>
        <w:numPr>
          <w:ilvl w:val="0"/>
          <w:numId w:val="9"/>
        </w:numPr>
        <w:spacing w:lineRule="auto"/>
      </w:pPr>
      <w:r>
        <w:rPr/>
        <w:t xml:space="preserve">Speed of incorporating new CPT codes (released multiple times yearly)[1]</w:t>
      </w:r>
    </w:p>
    <w:p>
      <w:pPr>
        <w:numPr>
          <w:ilvl w:val="0"/>
          <w:numId w:val="9"/>
        </w:numPr>
        <w:spacing w:lineRule="auto"/>
      </w:pPr>
      <w:r>
        <w:rPr/>
        <w:t xml:space="preserve">Speed of incorporating ICD updates (every 1-4 years)[1]</w:t>
      </w:r>
    </w:p>
    <w:p>
      <w:pPr>
        <w:numPr>
          <w:ilvl w:val="0"/>
          <w:numId w:val="9"/>
        </w:numPr>
        <w:spacing w:lineRule="auto"/>
      </w:pPr>
      <w:r>
        <w:rPr/>
        <w:t xml:space="preserve">Outdated codes lead to claim denials</w:t>
      </w:r>
    </w:p>
    <w:p>
      <w:pPr>
        <w:spacing w:line="271" w:before="240" w:lineRule="auto"/>
      </w:pPr>
      <w:bookmarkStart w:id="17" w:name="deprecated_code_detection_rate"/>
      <w:r>
        <w:rPr>
          <w:b/>
          <w:sz w:val="28"/>
        </w:rPr>
        <w:t xml:space="preserve">Deprecated Code Detection Rate</w:t>
      </w:r>
      <w:bookmarkEnd w:id="17"/>
    </w:p>
    <w:p>
      <w:pPr>
        <w:spacing w:after="210" w:lineRule="auto"/>
      </w:pPr>
      <w:r>
        <w:rPr>
          <w:b/>
        </w:rPr>
        <w:t xml:space="preserve">Target</w:t>
      </w:r>
      <w:r>
        <w:rPr/>
        <w:t xml:space="preserve">: 100%</w:t>
      </w:r>
    </w:p>
    <w:p>
      <w:pPr>
        <w:numPr>
          <w:ilvl w:val="0"/>
          <w:numId w:val="10"/>
        </w:numPr>
        <w:spacing w:lineRule="auto"/>
      </w:pPr>
      <w:r>
        <w:rPr/>
        <w:t xml:space="preserve">Identification of obsolete codes before claim submission</w:t>
      </w:r>
    </w:p>
    <w:p>
      <w:pPr>
        <w:numPr>
          <w:ilvl w:val="0"/>
          <w:numId w:val="10"/>
        </w:numPr>
        <w:spacing w:lineRule="auto"/>
      </w:pPr>
      <w:r>
        <w:rPr/>
        <w:t xml:space="preserve">Prevents automatic rejections from using outdated codes</w:t>
      </w:r>
    </w:p>
    <w:p>
      <w:pPr>
        <w:numPr>
          <w:ilvl w:val="0"/>
          <w:numId w:val="10"/>
        </w:numPr>
        <w:spacing w:lineRule="auto"/>
      </w:pPr>
      <w:r>
        <w:rPr>
          <w:rFonts w:eastAsia="Georgia" w:cs="Georgia" w:ascii="Georgia" w:hAnsi="Georgia"/>
        </w:rPr>
        <w:t xml:space="preserve">Measure: (Deprecated codes flagged / Total deprecated codes used) × 100</w:t>
      </w:r>
    </w:p>
    <w:p>
      <w:pPr>
        <w:spacing w:line="271" w:before="240" w:lineRule="auto"/>
      </w:pPr>
      <w:bookmarkStart w:id="18" w:name="version_compliance_rate"/>
      <w:r>
        <w:rPr>
          <w:b/>
          <w:sz w:val="28"/>
        </w:rPr>
        <w:t xml:space="preserve">Version Compliance Rate</w:t>
      </w:r>
      <w:bookmarkEnd w:id="18"/>
    </w:p>
    <w:p>
      <w:pPr>
        <w:spacing w:after="210" w:lineRule="auto"/>
      </w:pPr>
      <w:r>
        <w:rPr>
          <w:b/>
        </w:rPr>
        <w:t xml:space="preserve">Target</w:t>
      </w:r>
      <w:r>
        <w:rPr/>
        <w:t xml:space="preserve">: 100%</w:t>
      </w:r>
    </w:p>
    <w:p>
      <w:pPr>
        <w:numPr>
          <w:ilvl w:val="0"/>
          <w:numId w:val="11"/>
        </w:numPr>
        <w:spacing w:lineRule="auto"/>
      </w:pPr>
      <w:r>
        <w:rPr/>
        <w:t xml:space="preserve">Percentage of claims using correct ICD version (ICD-10 vs ICD-11)</w:t>
      </w:r>
    </w:p>
    <w:p>
      <w:pPr>
        <w:numPr>
          <w:ilvl w:val="0"/>
          <w:numId w:val="11"/>
        </w:numPr>
        <w:spacing w:lineRule="auto"/>
      </w:pPr>
      <w:r>
        <w:rPr/>
        <w:t xml:space="preserve">Ensures alignment with payer requirements</w:t>
      </w:r>
    </w:p>
    <w:p>
      <w:pPr>
        <w:numPr>
          <w:ilvl w:val="0"/>
          <w:numId w:val="11"/>
        </w:numPr>
        <w:spacing w:lineRule="auto"/>
      </w:pPr>
      <w:r>
        <w:rPr>
          <w:rFonts w:eastAsia="Georgia" w:cs="Georgia" w:ascii="Georgia" w:hAnsi="Georgia"/>
        </w:rPr>
        <w:t xml:space="preserve">Measure: (Compliant version usage / Total claims) × 100</w:t>
      </w:r>
    </w:p>
    <w:p>
      <w:pPr>
        <w:spacing w:line="271" w:before="240" w:lineRule="auto"/>
      </w:pPr>
      <w:bookmarkStart w:id="19" w:name="bm_4_integration_and_interoperabi_6a575a"/>
      <w:r>
        <w:rPr>
          <w:b/>
          <w:sz w:val="33"/>
        </w:rPr>
        <w:t xml:space="preserve">4. Integration and Interoperability KPIs</w:t>
      </w:r>
      <w:bookmarkEnd w:id="19"/>
    </w:p>
    <w:p>
      <w:pPr>
        <w:spacing w:line="271" w:before="240" w:lineRule="auto"/>
      </w:pPr>
      <w:bookmarkStart w:id="20" w:name="api_response_time"/>
      <w:r>
        <w:rPr>
          <w:b/>
          <w:sz w:val="28"/>
        </w:rPr>
        <w:t xml:space="preserve">API Response Time</w:t>
      </w:r>
      <w:bookmarkEnd w:id="20"/>
    </w:p>
    <w:p>
      <w:pPr>
        <w:spacing w:after="210" w:lineRule="auto"/>
      </w:pPr>
      <w:r>
        <w:rPr>
          <w:b/>
        </w:rPr>
        <w:t xml:space="preserve">Target</w:t>
      </w:r>
      <w:r>
        <w:rPr/>
        <w:t xml:space="preserve">: &lt;500ms for code lookups</w:t>
      </w:r>
    </w:p>
    <w:p>
      <w:pPr>
        <w:numPr>
          <w:ilvl w:val="0"/>
          <w:numId w:val="12"/>
        </w:numPr>
        <w:spacing w:lineRule="auto"/>
      </w:pPr>
      <w:r>
        <w:rPr/>
        <w:t xml:space="preserve">Speed of code validation API responses</w:t>
      </w:r>
    </w:p>
    <w:p>
      <w:pPr>
        <w:numPr>
          <w:ilvl w:val="0"/>
          <w:numId w:val="12"/>
        </w:numPr>
        <w:spacing w:lineRule="auto"/>
      </w:pPr>
      <w:r>
        <w:rPr/>
        <w:t xml:space="preserve">Affects user experience in billing systems</w:t>
      </w:r>
    </w:p>
    <w:p>
      <w:pPr>
        <w:numPr>
          <w:ilvl w:val="0"/>
          <w:numId w:val="12"/>
        </w:numPr>
        <w:spacing w:lineRule="auto"/>
      </w:pPr>
      <w:r>
        <w:rPr/>
        <w:t xml:space="preserve">Measure: Average API response time across all requests</w:t>
      </w:r>
    </w:p>
    <w:p>
      <w:pPr>
        <w:spacing w:line="271" w:before="240" w:lineRule="auto"/>
      </w:pPr>
      <w:bookmarkStart w:id="21" w:name="cross_system_data_consistency"/>
      <w:r>
        <w:rPr>
          <w:b/>
          <w:sz w:val="28"/>
        </w:rPr>
        <w:t xml:space="preserve">Cross-System Data Consistency</w:t>
      </w:r>
      <w:bookmarkEnd w:id="21"/>
    </w:p>
    <w:p>
      <w:pPr>
        <w:spacing w:after="210" w:lineRule="auto"/>
      </w:pPr>
      <w:r>
        <w:rPr>
          <w:b/>
        </w:rPr>
        <w:t xml:space="preserve">Target</w:t>
      </w:r>
      <w:r>
        <w:rPr>
          <w:rFonts w:eastAsia="Georgia" w:cs="Georgia" w:ascii="Georgia" w:hAnsi="Georgia"/>
        </w:rPr>
        <w:t xml:space="preserve">: ≥99.5%</w:t>
      </w:r>
    </w:p>
    <w:p>
      <w:pPr>
        <w:numPr>
          <w:ilvl w:val="0"/>
          <w:numId w:val="13"/>
        </w:numPr>
        <w:spacing w:lineRule="auto"/>
      </w:pPr>
      <w:r>
        <w:rPr/>
        <w:t xml:space="preserve">Consistency of code data across EHR, billing, and claims systems</w:t>
      </w:r>
    </w:p>
    <w:p>
      <w:pPr>
        <w:numPr>
          <w:ilvl w:val="0"/>
          <w:numId w:val="13"/>
        </w:numPr>
        <w:spacing w:lineRule="auto"/>
      </w:pPr>
      <w:r>
        <w:rPr/>
        <w:t xml:space="preserve">Prevents discrepancies that cause claim rejections</w:t>
      </w:r>
    </w:p>
    <w:p>
      <w:pPr>
        <w:numPr>
          <w:ilvl w:val="0"/>
          <w:numId w:val="13"/>
        </w:numPr>
        <w:spacing w:lineRule="auto"/>
      </w:pPr>
      <w:r>
        <w:rPr>
          <w:rFonts w:eastAsia="Georgia" w:cs="Georgia" w:ascii="Georgia" w:hAnsi="Georgia"/>
        </w:rPr>
        <w:t xml:space="preserve">Measure: (Matching records / Total records compared) × 100</w:t>
      </w:r>
    </w:p>
    <w:p>
      <w:pPr>
        <w:spacing w:line="271" w:before="240" w:lineRule="auto"/>
      </w:pPr>
      <w:bookmarkStart w:id="22" w:name="external_source_integration_success"/>
      <w:r>
        <w:rPr>
          <w:b/>
          <w:sz w:val="28"/>
        </w:rPr>
        <w:t xml:space="preserve">External Source Integration Success</w:t>
      </w:r>
      <w:bookmarkEnd w:id="22"/>
    </w:p>
    <w:p>
      <w:pPr>
        <w:spacing w:after="210" w:lineRule="auto"/>
      </w:pPr>
      <w:r>
        <w:rPr>
          <w:b/>
        </w:rPr>
        <w:t xml:space="preserve">Target</w:t>
      </w:r>
      <w:r>
        <w:rPr/>
        <w:t xml:space="preserve">: 100%</w:t>
      </w:r>
    </w:p>
    <w:p>
      <w:pPr>
        <w:numPr>
          <w:ilvl w:val="0"/>
          <w:numId w:val="14"/>
        </w:numPr>
        <w:spacing w:lineRule="auto"/>
      </w:pPr>
      <w:r>
        <w:rPr/>
        <w:t xml:space="preserve">Successful daily/weekly syncs with WHO ICD databases and AMA CPT sources[1]</w:t>
      </w:r>
    </w:p>
    <w:p>
      <w:pPr>
        <w:numPr>
          <w:ilvl w:val="0"/>
          <w:numId w:val="14"/>
        </w:numPr>
        <w:spacing w:lineRule="auto"/>
      </w:pPr>
      <w:r>
        <w:rPr/>
        <w:t xml:space="preserve">Maintains code library currency</w:t>
      </w:r>
    </w:p>
    <w:p>
      <w:pPr>
        <w:numPr>
          <w:ilvl w:val="0"/>
          <w:numId w:val="14"/>
        </w:numPr>
        <w:spacing w:lineRule="auto"/>
      </w:pPr>
      <w:r>
        <w:rPr>
          <w:rFonts w:eastAsia="Georgia" w:cs="Georgia" w:ascii="Georgia" w:hAnsi="Georgia"/>
        </w:rPr>
        <w:t xml:space="preserve">Measure: (Successful syncs / Total scheduled syncs) × 100</w:t>
      </w:r>
    </w:p>
    <w:p>
      <w:pPr>
        <w:spacing w:line="271" w:before="240" w:lineRule="auto"/>
      </w:pPr>
      <w:bookmarkStart w:id="23" w:name="bm_5_business_impact_kpis"/>
      <w:r>
        <w:rPr>
          <w:b/>
          <w:sz w:val="33"/>
        </w:rPr>
        <w:t xml:space="preserve">5. Business Impact KPIs</w:t>
      </w:r>
      <w:bookmarkEnd w:id="23"/>
    </w:p>
    <w:p>
      <w:pPr>
        <w:spacing w:line="271" w:before="240" w:lineRule="auto"/>
      </w:pPr>
      <w:bookmarkStart w:id="24" w:name="first_pass_claim_acceptance_rate"/>
      <w:r>
        <w:rPr>
          <w:b/>
          <w:sz w:val="28"/>
        </w:rPr>
        <w:t xml:space="preserve">First-Pass Claim Acceptance Rate</w:t>
      </w:r>
      <w:bookmarkEnd w:id="24"/>
    </w:p>
    <w:p>
      <w:pPr>
        <w:spacing w:after="210" w:lineRule="auto"/>
      </w:pPr>
      <w:r>
        <w:rPr>
          <w:b/>
        </w:rPr>
        <w:t xml:space="preserve">Target</w:t>
      </w:r>
      <w:r>
        <w:rPr>
          <w:rFonts w:eastAsia="Georgia" w:cs="Georgia" w:ascii="Georgia" w:hAnsi="Georgia"/>
        </w:rPr>
        <w:t xml:space="preserve">: ≥95%</w:t>
      </w:r>
    </w:p>
    <w:p>
      <w:pPr>
        <w:numPr>
          <w:ilvl w:val="0"/>
          <w:numId w:val="15"/>
        </w:numPr>
        <w:spacing w:lineRule="auto"/>
      </w:pPr>
      <w:r>
        <w:rPr/>
        <w:t xml:space="preserve">Percentage of claims accepted on first submission due to correct coding</w:t>
      </w:r>
    </w:p>
    <w:p>
      <w:pPr>
        <w:numPr>
          <w:ilvl w:val="0"/>
          <w:numId w:val="15"/>
        </w:numPr>
        <w:spacing w:lineRule="auto"/>
      </w:pPr>
      <w:r>
        <w:rPr/>
        <w:t xml:space="preserve">Direct revenue cycle impact</w:t>
      </w:r>
    </w:p>
    <w:p>
      <w:pPr>
        <w:numPr>
          <w:ilvl w:val="0"/>
          <w:numId w:val="15"/>
        </w:numPr>
        <w:spacing w:lineRule="auto"/>
      </w:pPr>
      <w:r>
        <w:rPr>
          <w:rFonts w:eastAsia="Georgia" w:cs="Georgia" w:ascii="Georgia" w:hAnsi="Georgia"/>
        </w:rPr>
        <w:t xml:space="preserve">Measure: (Accepted claims / Total claims submitted) × 100</w:t>
      </w:r>
    </w:p>
    <w:p>
      <w:pPr>
        <w:spacing w:line="271" w:before="240" w:lineRule="auto"/>
      </w:pPr>
      <w:bookmarkStart w:id="25" w:name="code_related_rejection_rate"/>
      <w:r>
        <w:rPr>
          <w:b/>
          <w:sz w:val="28"/>
        </w:rPr>
        <w:t xml:space="preserve">Code-Related Rejection Rate</w:t>
      </w:r>
      <w:bookmarkEnd w:id="25"/>
    </w:p>
    <w:p>
      <w:pPr>
        <w:spacing w:after="210" w:lineRule="auto"/>
      </w:pPr>
      <w:r>
        <w:rPr>
          <w:b/>
        </w:rPr>
        <w:t xml:space="preserve">Target</w:t>
      </w:r>
      <w:r>
        <w:rPr/>
        <w:t xml:space="preserve">: &lt;2%</w:t>
      </w:r>
    </w:p>
    <w:p>
      <w:pPr>
        <w:numPr>
          <w:ilvl w:val="0"/>
          <w:numId w:val="16"/>
        </w:numPr>
        <w:spacing w:lineRule="auto"/>
      </w:pPr>
      <w:r>
        <w:rPr/>
        <w:t xml:space="preserve">Claims rejected specifically due to coding errors</w:t>
      </w:r>
    </w:p>
    <w:p>
      <w:pPr>
        <w:numPr>
          <w:ilvl w:val="0"/>
          <w:numId w:val="16"/>
        </w:numPr>
        <w:spacing w:lineRule="auto"/>
      </w:pPr>
      <w:r>
        <w:rPr/>
        <w:t xml:space="preserve">Indicates data quality issues in the pipeline</w:t>
      </w:r>
    </w:p>
    <w:p>
      <w:pPr>
        <w:numPr>
          <w:ilvl w:val="0"/>
          <w:numId w:val="16"/>
        </w:numPr>
        <w:spacing w:lineRule="auto"/>
      </w:pPr>
      <w:r>
        <w:rPr>
          <w:rFonts w:eastAsia="Georgia" w:cs="Georgia" w:ascii="Georgia" w:hAnsi="Georgia"/>
        </w:rPr>
        <w:t xml:space="preserve">Measure: (Code-related rejections / Total claims) × 100</w:t>
      </w:r>
    </w:p>
    <w:p>
      <w:pPr>
        <w:spacing w:line="271" w:before="240" w:lineRule="auto"/>
      </w:pPr>
      <w:bookmarkStart w:id="26" w:name="revenue_cycle_impact"/>
      <w:r>
        <w:rPr>
          <w:b/>
          <w:sz w:val="28"/>
        </w:rPr>
        <w:t xml:space="preserve">Revenue Cycle Impact</w:t>
      </w:r>
      <w:bookmarkEnd w:id="26"/>
    </w:p>
    <w:p>
      <w:pPr>
        <w:spacing w:after="210" w:lineRule="auto"/>
      </w:pPr>
      <w:r>
        <w:rPr>
          <w:b/>
        </w:rPr>
        <w:t xml:space="preserve">Target</w:t>
      </w:r>
      <w:r>
        <w:rPr/>
        <w:t xml:space="preserve">: Reduce days in A/R by 15%</w:t>
      </w:r>
    </w:p>
    <w:p>
      <w:pPr>
        <w:numPr>
          <w:ilvl w:val="0"/>
          <w:numId w:val="17"/>
        </w:numPr>
        <w:spacing w:lineRule="auto"/>
      </w:pPr>
      <w:r>
        <w:rPr/>
        <w:t xml:space="preserve">Reduction in accounts receivable days due to faster, accurate coding</w:t>
      </w:r>
    </w:p>
    <w:p>
      <w:pPr>
        <w:numPr>
          <w:ilvl w:val="0"/>
          <w:numId w:val="17"/>
        </w:numPr>
        <w:spacing w:lineRule="auto"/>
      </w:pPr>
      <w:r>
        <w:rPr/>
        <w:t xml:space="preserve">Improved cash flow from fewer rejections and resubmissions</w:t>
      </w:r>
    </w:p>
    <w:p>
      <w:pPr>
        <w:numPr>
          <w:ilvl w:val="0"/>
          <w:numId w:val="17"/>
        </w:numPr>
        <w:spacing w:lineRule="auto"/>
      </w:pPr>
      <w:r>
        <w:rPr/>
        <w:t xml:space="preserve">Measure: Average days from service to payment</w:t>
      </w:r>
    </w:p>
    <w:p>
      <w:pPr>
        <w:spacing w:line="271" w:before="240" w:lineRule="auto"/>
      </w:pPr>
      <w:bookmarkStart w:id="27" w:name="bm_6_data_governance_kpis"/>
      <w:r>
        <w:rPr>
          <w:b/>
          <w:sz w:val="33"/>
        </w:rPr>
        <w:t xml:space="preserve">6. Data Governance KPIs</w:t>
      </w:r>
      <w:bookmarkEnd w:id="27"/>
    </w:p>
    <w:p>
      <w:pPr>
        <w:spacing w:line="271" w:before="240" w:lineRule="auto"/>
      </w:pPr>
      <w:bookmarkStart w:id="28" w:name="audit_trail_completeness"/>
      <w:r>
        <w:rPr>
          <w:b/>
          <w:sz w:val="28"/>
        </w:rPr>
        <w:t xml:space="preserve">Audit Trail Completeness</w:t>
      </w:r>
      <w:bookmarkEnd w:id="28"/>
    </w:p>
    <w:p>
      <w:pPr>
        <w:spacing w:after="210" w:lineRule="auto"/>
      </w:pPr>
      <w:r>
        <w:rPr>
          <w:b/>
        </w:rPr>
        <w:t xml:space="preserve">Target</w:t>
      </w:r>
      <w:r>
        <w:rPr/>
        <w:t xml:space="preserve">: 100%</w:t>
      </w:r>
    </w:p>
    <w:p>
      <w:pPr>
        <w:numPr>
          <w:ilvl w:val="0"/>
          <w:numId w:val="18"/>
        </w:numPr>
        <w:spacing w:lineRule="auto"/>
      </w:pPr>
      <w:r>
        <w:rPr/>
        <w:t xml:space="preserve">Complete logging of all code assignments and changes</w:t>
      </w:r>
    </w:p>
    <w:p>
      <w:pPr>
        <w:numPr>
          <w:ilvl w:val="0"/>
          <w:numId w:val="18"/>
        </w:numPr>
        <w:spacing w:lineRule="auto"/>
      </w:pPr>
      <w:r>
        <w:rPr/>
        <w:t xml:space="preserve">Required for HIPAA compliance and fraud prevention</w:t>
      </w:r>
    </w:p>
    <w:p>
      <w:pPr>
        <w:numPr>
          <w:ilvl w:val="0"/>
          <w:numId w:val="18"/>
        </w:numPr>
        <w:spacing w:lineRule="auto"/>
      </w:pPr>
      <w:r>
        <w:rPr>
          <w:rFonts w:eastAsia="Georgia" w:cs="Georgia" w:ascii="Georgia" w:hAnsi="Georgia"/>
        </w:rPr>
        <w:t xml:space="preserve">Measure: (Records with complete audit trails / Total records) × 100</w:t>
      </w:r>
    </w:p>
    <w:p>
      <w:pPr>
        <w:spacing w:line="271" w:before="240" w:lineRule="auto"/>
      </w:pPr>
      <w:bookmarkStart w:id="29" w:name="data_lineage_tracking"/>
      <w:r>
        <w:rPr>
          <w:b/>
          <w:sz w:val="28"/>
        </w:rPr>
        <w:t xml:space="preserve">Data Lineage Tracking</w:t>
      </w:r>
      <w:bookmarkEnd w:id="29"/>
    </w:p>
    <w:p>
      <w:pPr>
        <w:spacing w:after="210" w:lineRule="auto"/>
      </w:pPr>
      <w:r>
        <w:rPr>
          <w:b/>
        </w:rPr>
        <w:t xml:space="preserve">Target</w:t>
      </w:r>
      <w:r>
        <w:rPr/>
        <w:t xml:space="preserve">: 100%</w:t>
      </w:r>
    </w:p>
    <w:p>
      <w:pPr>
        <w:numPr>
          <w:ilvl w:val="0"/>
          <w:numId w:val="19"/>
        </w:numPr>
        <w:spacing w:lineRule="auto"/>
      </w:pPr>
      <w:r>
        <w:rPr/>
        <w:t xml:space="preserve">Full traceability from source systems through transformations to final billing</w:t>
      </w:r>
    </w:p>
    <w:p>
      <w:pPr>
        <w:numPr>
          <w:ilvl w:val="0"/>
          <w:numId w:val="19"/>
        </w:numPr>
        <w:spacing w:lineRule="auto"/>
      </w:pPr>
      <w:r>
        <w:rPr/>
        <w:t xml:space="preserve">Critical for debugging and compliance audits</w:t>
      </w:r>
    </w:p>
    <w:p>
      <w:pPr>
        <w:numPr>
          <w:ilvl w:val="0"/>
          <w:numId w:val="19"/>
        </w:numPr>
        <w:spacing w:lineRule="auto"/>
      </w:pPr>
      <w:r>
        <w:rPr>
          <w:rFonts w:eastAsia="Georgia" w:cs="Georgia" w:ascii="Georgia" w:hAnsi="Georgia"/>
        </w:rPr>
        <w:t xml:space="preserve">Measure: (Records with full lineage / Total records) × 100</w:t>
      </w:r>
    </w:p>
    <w:p>
      <w:pPr>
        <w:spacing w:line="271" w:before="240" w:lineRule="auto"/>
      </w:pPr>
      <w:bookmarkStart w:id="30" w:name="security_compliance_rate"/>
      <w:r>
        <w:rPr>
          <w:b/>
          <w:sz w:val="28"/>
        </w:rPr>
        <w:t xml:space="preserve">Security Compliance Rate</w:t>
      </w:r>
      <w:bookmarkEnd w:id="30"/>
    </w:p>
    <w:p>
      <w:pPr>
        <w:spacing w:after="210" w:lineRule="auto"/>
      </w:pPr>
      <w:r>
        <w:rPr>
          <w:b/>
        </w:rPr>
        <w:t xml:space="preserve">Target</w:t>
      </w:r>
      <w:r>
        <w:rPr/>
        <w:t xml:space="preserve">: 100%</w:t>
      </w:r>
    </w:p>
    <w:p>
      <w:pPr>
        <w:numPr>
          <w:ilvl w:val="0"/>
          <w:numId w:val="20"/>
        </w:numPr>
        <w:spacing w:lineRule="auto"/>
      </w:pPr>
      <w:r>
        <w:rPr/>
        <w:t xml:space="preserve">HIPAA-compliant data handling throughout the pipeline[1]</w:t>
      </w:r>
    </w:p>
    <w:p>
      <w:pPr>
        <w:numPr>
          <w:ilvl w:val="0"/>
          <w:numId w:val="20"/>
        </w:numPr>
        <w:spacing w:lineRule="auto"/>
      </w:pPr>
      <w:r>
        <w:rPr/>
        <w:t xml:space="preserve">Encryption, access controls, and data masking implementation</w:t>
      </w:r>
    </w:p>
    <w:p>
      <w:pPr>
        <w:numPr>
          <w:ilvl w:val="0"/>
          <w:numId w:val="20"/>
        </w:numPr>
        <w:spacing w:lineRule="auto"/>
      </w:pPr>
      <w:r>
        <w:rPr>
          <w:rFonts w:eastAsia="Georgia" w:cs="Georgia" w:ascii="Georgia" w:hAnsi="Georgia"/>
        </w:rPr>
        <w:t xml:space="preserve">Measure: (Compliant security checks passed / Total security checks) × 100</w:t>
      </w:r>
    </w:p>
    <w:p>
      <w:pPr>
        <w:spacing w:line="271" w:before="240" w:lineRule="auto"/>
      </w:pPr>
      <w:bookmarkStart w:id="31" w:name="implementation_considerations"/>
      <w:r>
        <w:rPr>
          <w:b/>
          <w:sz w:val="42"/>
        </w:rPr>
        <w:t xml:space="preserve">Implementation Considerations</w:t>
      </w:r>
      <w:bookmarkEnd w:id="31"/>
    </w:p>
    <w:p>
      <w:pPr>
        <w:spacing w:line="271" w:before="240" w:lineRule="auto"/>
      </w:pPr>
      <w:bookmarkStart w:id="32" w:name="critical_data_sources"/>
      <w:r>
        <w:rPr>
          <w:b/>
          <w:sz w:val="33"/>
        </w:rPr>
        <w:t xml:space="preserve">Critical Data Sources</w:t>
      </w:r>
      <w:bookmarkEnd w:id="32"/>
    </w:p>
    <w:p>
      <w:pPr>
        <w:numPr>
          <w:ilvl w:val="0"/>
          <w:numId w:val="21"/>
        </w:numPr>
        <w:spacing w:lineRule="auto"/>
      </w:pPr>
      <w:r>
        <w:rPr>
          <w:b/>
        </w:rPr>
        <w:t xml:space="preserve">WHO ICD-10 and ICD-11 databases</w:t>
      </w:r>
      <w:r>
        <w:rPr/>
        <w:t xml:space="preserve">: Official diagnosis code sources[1]</w:t>
      </w:r>
    </w:p>
    <w:p>
      <w:pPr>
        <w:numPr>
          <w:ilvl w:val="0"/>
          <w:numId w:val="21"/>
        </w:numPr>
        <w:spacing w:lineRule="auto"/>
      </w:pPr>
      <w:r>
        <w:rPr>
          <w:b/>
        </w:rPr>
        <w:t xml:space="preserve">AMA CPT code database</w:t>
      </w:r>
      <w:r>
        <w:rPr/>
        <w:t xml:space="preserve">: Official procedure code source[1]</w:t>
      </w:r>
    </w:p>
    <w:p>
      <w:pPr>
        <w:numPr>
          <w:ilvl w:val="0"/>
          <w:numId w:val="21"/>
        </w:numPr>
        <w:spacing w:lineRule="auto"/>
      </w:pPr>
      <w:r>
        <w:rPr>
          <w:b/>
        </w:rPr>
        <w:t xml:space="preserve">DSM-5 to ICD crosswalks</w:t>
      </w:r>
      <w:r>
        <w:rPr/>
        <w:t xml:space="preserve">: For mental health diagnosis mapping[1]</w:t>
      </w:r>
    </w:p>
    <w:p>
      <w:pPr>
        <w:numPr>
          <w:ilvl w:val="0"/>
          <w:numId w:val="21"/>
        </w:numPr>
        <w:spacing w:lineRule="auto"/>
      </w:pPr>
      <w:r>
        <w:rPr>
          <w:b/>
        </w:rPr>
        <w:t xml:space="preserve">Payer-specific code requirements</w:t>
      </w:r>
      <w:r>
        <w:rPr/>
        <w:t xml:space="preserve">: Insurance company variations</w:t>
      </w:r>
    </w:p>
    <w:p>
      <w:pPr>
        <w:spacing w:line="271" w:before="240" w:lineRule="auto"/>
      </w:pPr>
      <w:bookmarkStart w:id="33" w:name="update_management_strategy"/>
      <w:r>
        <w:rPr>
          <w:b/>
          <w:sz w:val="33"/>
        </w:rPr>
        <w:t xml:space="preserve">Update Management Strategy</w:t>
      </w:r>
      <w:bookmarkEnd w:id="33"/>
    </w:p>
    <w:p>
      <w:pPr>
        <w:spacing w:after="210" w:lineRule="auto"/>
      </w:pPr>
      <w:r>
        <w:rPr/>
        <w:t xml:space="preserve">Given the different update frequencies[1]:</w:t>
      </w:r>
    </w:p>
    <w:p>
      <w:pPr>
        <w:numPr>
          <w:ilvl w:val="0"/>
          <w:numId w:val="22"/>
        </w:numPr>
        <w:spacing w:lineRule="auto"/>
      </w:pPr>
      <w:r>
        <w:rPr>
          <w:b/>
        </w:rPr>
        <w:t xml:space="preserve">CPT codes</w:t>
      </w:r>
      <w:r>
        <w:rPr/>
        <w:t xml:space="preserve">: Implement automated pipeline for multiple yearly updates</w:t>
      </w:r>
    </w:p>
    <w:p>
      <w:pPr>
        <w:numPr>
          <w:ilvl w:val="0"/>
          <w:numId w:val="22"/>
        </w:numPr>
        <w:spacing w:lineRule="auto"/>
      </w:pPr>
      <w:r>
        <w:rPr>
          <w:b/>
        </w:rPr>
        <w:t xml:space="preserve">ICD codes</w:t>
      </w:r>
      <w:r>
        <w:rPr/>
        <w:t xml:space="preserve">: Plan for major version migrations (1-4 year cycles)</w:t>
      </w:r>
    </w:p>
    <w:p>
      <w:pPr>
        <w:numPr>
          <w:ilvl w:val="0"/>
          <w:numId w:val="22"/>
        </w:numPr>
        <w:spacing w:lineRule="auto"/>
      </w:pPr>
      <w:r>
        <w:rPr>
          <w:b/>
        </w:rPr>
        <w:t xml:space="preserve">Version control</w:t>
      </w:r>
      <w:r>
        <w:rPr/>
        <w:t xml:space="preserve">: Maintain historical code versions for retroactive claims</w:t>
      </w:r>
    </w:p>
    <w:p>
      <w:pPr>
        <w:numPr>
          <w:ilvl w:val="0"/>
          <w:numId w:val="22"/>
        </w:numPr>
        <w:spacing w:lineRule="auto"/>
      </w:pPr>
      <w:r>
        <w:rPr>
          <w:b/>
        </w:rPr>
        <w:t xml:space="preserve">Regression testing</w:t>
      </w:r>
      <w:r>
        <w:rPr/>
        <w:t xml:space="preserve">: Validate code changes don't break existing integrations</w:t>
      </w:r>
    </w:p>
    <w:p>
      <w:pPr>
        <w:spacing w:line="271" w:before="240" w:lineRule="auto"/>
      </w:pPr>
      <w:bookmarkStart w:id="34" w:name="monitoring_and_alerting_priorities"/>
      <w:r>
        <w:rPr>
          <w:b/>
          <w:sz w:val="33"/>
        </w:rPr>
        <w:t xml:space="preserve">Monitoring and Alerting Priorities</w:t>
      </w:r>
      <w:bookmarkEnd w:id="34"/>
    </w:p>
    <w:p>
      <w:pPr>
        <w:numPr>
          <w:ilvl w:val="0"/>
          <w:numId w:val="23"/>
        </w:numPr>
        <w:spacing w:lineRule="auto"/>
      </w:pPr>
      <w:r>
        <w:rPr/>
        <w:t xml:space="preserve">Code validation failure spikes (&gt;0.5% error rate)</w:t>
      </w:r>
    </w:p>
    <w:p>
      <w:pPr>
        <w:numPr>
          <w:ilvl w:val="0"/>
          <w:numId w:val="23"/>
        </w:numPr>
        <w:spacing w:lineRule="auto"/>
      </w:pPr>
      <w:r>
        <w:rPr/>
        <w:t xml:space="preserve">Pipeline processing delays (&gt;2 hours for batch jobs)</w:t>
      </w:r>
    </w:p>
    <w:p>
      <w:pPr>
        <w:numPr>
          <w:ilvl w:val="0"/>
          <w:numId w:val="23"/>
        </w:numPr>
        <w:spacing w:lineRule="auto"/>
      </w:pPr>
      <w:r>
        <w:rPr/>
        <w:t xml:space="preserve">Failed external database synchronizations</w:t>
      </w:r>
    </w:p>
    <w:p>
      <w:pPr>
        <w:numPr>
          <w:ilvl w:val="0"/>
          <w:numId w:val="23"/>
        </w:numPr>
        <w:spacing w:lineRule="auto"/>
      </w:pPr>
      <w:r>
        <w:rPr/>
        <w:t xml:space="preserve">Deprecated code usage detection</w:t>
      </w:r>
    </w:p>
    <w:p>
      <w:pPr>
        <w:numPr>
          <w:ilvl w:val="0"/>
          <w:numId w:val="23"/>
        </w:numPr>
        <w:spacing w:lineRule="auto"/>
      </w:pPr>
      <w:r>
        <w:rPr/>
        <w:t xml:space="preserve">API performance degradation (&gt;500ms average response time)</w:t>
      </w:r>
    </w:p>
    <w:p>
      <w:pPr>
        <w:spacing w:line="271" w:before="240" w:lineRule="auto"/>
      </w:pPr>
      <w:bookmarkStart w:id="35" w:name="conclusion"/>
      <w:r>
        <w:rPr>
          <w:b/>
          <w:sz w:val="42"/>
        </w:rPr>
        <w:t xml:space="preserve">Conclusion</w:t>
      </w:r>
      <w:bookmarkEnd w:id="35"/>
    </w:p>
    <w:p>
      <w:pPr>
        <w:spacing w:after="210" w:lineRule="auto"/>
      </w:pPr>
      <w:r>
        <w:rPr/>
        <w:t xml:space="preserve">Effective data engineering for healthcare coding systems requires a comprehensive KPI framework that balances data quality, processing performance, compliance, and business impact. With payers processing millions of claims annually, even small improvements in accuracy and efficiency translate to significant operational and financial benefits[1][2].</w:t>
      </w:r>
    </w:p>
    <w:p>
      <w:pPr>
        <w:spacing w:after="210" w:lineRule="auto"/>
      </w:pPr>
      <w:r>
        <w:rPr>
          <w:rFonts w:eastAsia="Georgia" w:cs="Georgia" w:ascii="Georgia" w:hAnsi="Georgia"/>
        </w:rPr>
        <w:t xml:space="preserve">Success metrics should focus on maintaining high accuracy rates (≥99%), ensuring code currency through frequent updates, and minimizing claim rejections through robust validation pipelines. Proper implementation of these KPIs enables healthcare organizations to streamline billing operations, reduce revenue cycle times, and maintain compliance with evolving coding standards.</w:t>
      </w:r>
    </w:p>
    <w:p>
      <w:pPr>
        <w:spacing w:line="271" w:before="240" w:lineRule="auto"/>
      </w:pPr>
      <w:bookmarkStart w:id="36" w:name="references"/>
      <w:r>
        <w:rPr>
          <w:b/>
          <w:sz w:val="42"/>
        </w:rPr>
        <w:t xml:space="preserve">References</w:t>
      </w:r>
      <w:bookmarkEnd w:id="36"/>
    </w:p>
    <w:p>
      <w:pPr>
        <w:spacing w:after="210" w:lineRule="auto"/>
      </w:pPr>
      <w:r>
        <w:rPr/>
        <w:t xml:space="preserve">[1] SimplePractice. (2024). ICD and CPT codes: Their use and difference. </w:t>
      </w:r>
      <w:hyperlink r:id="rId5">
        <w:r>
          <w:rPr>
            <w:color w:val="4472C4"/>
          </w:rPr>
          <w:t xml:space="preserve">https://www.simplepractice.com/blog/icd-codes-and-cpt-codes/</w:t>
        </w:r>
      </w:hyperlink>
    </w:p>
    <w:p>
      <w:pPr>
        <w:spacing w:after="210" w:lineRule="auto"/>
      </w:pPr>
      <w:r>
        <w:rPr/>
        <w:t xml:space="preserve">[2] Atlan. (2024). KPIs for data teams: A comprehensive 2025 guide. </w:t>
      </w:r>
      <w:hyperlink r:id="rId6">
        <w:r>
          <w:rPr>
            <w:color w:val="4472C4"/>
          </w:rPr>
          <w:t xml:space="preserve">https://atlan.com/kpis-for-data-team/</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1">
    <w:multiLevelType w:val="hybridMultilevel"/>
    <w:lvl w:ilvl="0">
      <w:start w:val="1"/>
      <w:numFmt w:val="decimal"/>
      <w:lvlText w:val="%1."/>
      <w:lvlJc w:val="left"/>
      <w:pPr>
        <w:tabs>
          <w:tab w:val="num" w:pos="1080"/>
        </w:tabs>
        <w:ind w:left="720" w:hanging="360"/>
      </w:pPr>
    </w:lvl>
  </w:abstractNum>
  <w:abstractNum w:abstractNumId="2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3">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simplepractice.com/blog/icd-codes-and-cpt-codes/" TargetMode="External"/><Relationship Id="rId6" Type="http://schemas.openxmlformats.org/officeDocument/2006/relationships/hyperlink" Target="https://atlan.com/kpis-for-data-tea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2026-01-31T20:39:56.919Z</dcterms:created>
  <dcterms:modified xsi:type="dcterms:W3CDTF">2026-01-31T20:39:56.919Z</dcterms:modified>
</cp:coreProperties>
</file>