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2F4337B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1. Summary of Predictive Insights</w:t>
      </w:r>
    </w:p>
    <w:p w14:paraId="5FFDFCE7" w14:textId="77777777" w:rsidR="00DA5303" w:rsidRPr="00DA5303" w:rsidRDefault="00DA5303" w:rsidP="00DA5303">
      <w:pPr>
        <w:rPr>
          <w:rFonts w:ascii="Arial" w:hAnsi="Arial" w:cs="Arial"/>
          <w:color w:val="000000" w:themeColor="text1"/>
          <w:lang w:val="en-IN"/>
        </w:rPr>
      </w:pPr>
      <w:r w:rsidRPr="00DA5303">
        <w:rPr>
          <w:rFonts w:ascii="Arial" w:hAnsi="Arial" w:cs="Arial"/>
          <w:color w:val="000000" w:themeColor="text1"/>
          <w:lang w:val="en-IN"/>
        </w:rPr>
        <w:t>Here are examples from the dataset illustrating the impact of the top 3 risk factors:</w:t>
      </w:r>
    </w:p>
    <w:p w14:paraId="2DDC1A29" w14:textId="77777777" w:rsidR="00DA5303" w:rsidRPr="00DA5303" w:rsidRDefault="00DA5303" w:rsidP="00DA5303">
      <w:pPr>
        <w:rPr>
          <w:rFonts w:ascii="Arial" w:hAnsi="Arial" w:cs="Arial"/>
          <w:color w:val="000000" w:themeColor="text1"/>
          <w:lang w:val="en-IN"/>
        </w:rPr>
      </w:pPr>
      <w:r w:rsidRPr="00DA5303">
        <w:rPr>
          <w:rFonts w:ascii="Arial" w:hAnsi="Arial" w:cs="Arial"/>
          <w:b/>
          <w:bCs/>
          <w:color w:val="000000" w:themeColor="text1"/>
          <w:lang w:val="en-IN"/>
        </w:rPr>
        <w:t>1. Number of Missed Payments</w:t>
      </w:r>
    </w:p>
    <w:p w14:paraId="6FE4747A" w14:textId="77777777" w:rsidR="00DA5303" w:rsidRPr="00DA5303" w:rsidRDefault="00DA5303" w:rsidP="00DA5303">
      <w:pPr>
        <w:numPr>
          <w:ilvl w:val="0"/>
          <w:numId w:val="10"/>
        </w:numPr>
        <w:rPr>
          <w:rFonts w:ascii="Arial" w:hAnsi="Arial" w:cs="Arial"/>
          <w:color w:val="000000" w:themeColor="text1"/>
          <w:lang w:val="en-IN"/>
        </w:rPr>
      </w:pPr>
      <w:r w:rsidRPr="00DA5303">
        <w:rPr>
          <w:rFonts w:ascii="Arial" w:hAnsi="Arial" w:cs="Arial"/>
          <w:b/>
          <w:bCs/>
          <w:color w:val="000000" w:themeColor="text1"/>
          <w:lang w:val="en-IN"/>
        </w:rPr>
        <w:t>High Risk (Delinquent):</w:t>
      </w:r>
      <w:r w:rsidRPr="00DA5303">
        <w:rPr>
          <w:rFonts w:ascii="Arial" w:hAnsi="Arial" w:cs="Arial"/>
          <w:color w:val="000000" w:themeColor="text1"/>
          <w:lang w:val="en-IN"/>
        </w:rPr>
        <w:t xml:space="preserve"> Customer ID: CUST0002 </w:t>
      </w:r>
    </w:p>
    <w:p w14:paraId="2A556781"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b/>
          <w:bCs/>
          <w:color w:val="000000" w:themeColor="text1"/>
          <w:lang w:val="en-IN"/>
        </w:rPr>
        <w:t>Missed Payments:</w:t>
      </w:r>
      <w:r w:rsidRPr="00DA5303">
        <w:rPr>
          <w:rFonts w:ascii="Arial" w:hAnsi="Arial" w:cs="Arial"/>
          <w:color w:val="000000" w:themeColor="text1"/>
          <w:lang w:val="en-IN"/>
        </w:rPr>
        <w:t xml:space="preserve"> 6</w:t>
      </w:r>
    </w:p>
    <w:p w14:paraId="29708B05"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Yes (1)</w:t>
      </w:r>
    </w:p>
    <w:p w14:paraId="5D91F969"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color w:val="000000" w:themeColor="text1"/>
          <w:lang w:val="en-IN"/>
        </w:rPr>
        <w:t>This customer had a high number of missed payments, which aligns with the account being delinquent.</w:t>
      </w:r>
    </w:p>
    <w:p w14:paraId="441A0CA2" w14:textId="77777777" w:rsidR="00DA5303" w:rsidRPr="00DA5303" w:rsidRDefault="00DA5303" w:rsidP="00DA5303">
      <w:pPr>
        <w:numPr>
          <w:ilvl w:val="0"/>
          <w:numId w:val="10"/>
        </w:numPr>
        <w:rPr>
          <w:rFonts w:ascii="Arial" w:hAnsi="Arial" w:cs="Arial"/>
          <w:color w:val="000000" w:themeColor="text1"/>
          <w:lang w:val="en-IN"/>
        </w:rPr>
      </w:pPr>
      <w:r w:rsidRPr="00DA5303">
        <w:rPr>
          <w:rFonts w:ascii="Arial" w:hAnsi="Arial" w:cs="Arial"/>
          <w:b/>
          <w:bCs/>
          <w:color w:val="000000" w:themeColor="text1"/>
          <w:lang w:val="en-IN"/>
        </w:rPr>
        <w:t>Low Risk (Not Delinquent):</w:t>
      </w:r>
      <w:r w:rsidRPr="00DA5303">
        <w:rPr>
          <w:rFonts w:ascii="Arial" w:hAnsi="Arial" w:cs="Arial"/>
          <w:color w:val="000000" w:themeColor="text1"/>
          <w:lang w:val="en-IN"/>
        </w:rPr>
        <w:t xml:space="preserve"> Customer ID: CUST0013 </w:t>
      </w:r>
    </w:p>
    <w:p w14:paraId="36637460"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b/>
          <w:bCs/>
          <w:color w:val="000000" w:themeColor="text1"/>
          <w:lang w:val="en-IN"/>
        </w:rPr>
        <w:t>Missed Payments:</w:t>
      </w:r>
      <w:r w:rsidRPr="00DA5303">
        <w:rPr>
          <w:rFonts w:ascii="Arial" w:hAnsi="Arial" w:cs="Arial"/>
          <w:color w:val="000000" w:themeColor="text1"/>
          <w:lang w:val="en-IN"/>
        </w:rPr>
        <w:t xml:space="preserve"> 0</w:t>
      </w:r>
    </w:p>
    <w:p w14:paraId="20745254"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No (0)</w:t>
      </w:r>
    </w:p>
    <w:p w14:paraId="298736FC" w14:textId="77777777" w:rsidR="00DA5303" w:rsidRPr="00DA5303" w:rsidRDefault="00DA5303" w:rsidP="00DA5303">
      <w:pPr>
        <w:numPr>
          <w:ilvl w:val="1"/>
          <w:numId w:val="10"/>
        </w:numPr>
        <w:rPr>
          <w:rFonts w:ascii="Arial" w:hAnsi="Arial" w:cs="Arial"/>
          <w:color w:val="000000" w:themeColor="text1"/>
          <w:lang w:val="en-IN"/>
        </w:rPr>
      </w:pPr>
      <w:r w:rsidRPr="00DA5303">
        <w:rPr>
          <w:rFonts w:ascii="Arial" w:hAnsi="Arial" w:cs="Arial"/>
          <w:color w:val="000000" w:themeColor="text1"/>
          <w:lang w:val="en-IN"/>
        </w:rPr>
        <w:t>This customer had no missed payments, and their account is not delinquent.</w:t>
      </w:r>
    </w:p>
    <w:p w14:paraId="43552C8D" w14:textId="77777777" w:rsidR="00DA5303" w:rsidRPr="00DA5303" w:rsidRDefault="00DA5303" w:rsidP="00DA5303">
      <w:pPr>
        <w:rPr>
          <w:rFonts w:ascii="Arial" w:hAnsi="Arial" w:cs="Arial"/>
          <w:color w:val="000000" w:themeColor="text1"/>
          <w:lang w:val="en-IN"/>
        </w:rPr>
      </w:pPr>
      <w:r w:rsidRPr="00DA5303">
        <w:rPr>
          <w:rFonts w:ascii="Arial" w:hAnsi="Arial" w:cs="Arial"/>
          <w:b/>
          <w:bCs/>
          <w:color w:val="000000" w:themeColor="text1"/>
          <w:lang w:val="en-IN"/>
        </w:rPr>
        <w:t>2. Total Recent Missed or Late Payments</w:t>
      </w:r>
    </w:p>
    <w:p w14:paraId="359AF03F" w14:textId="77777777" w:rsidR="00DA5303" w:rsidRPr="00DA5303" w:rsidRDefault="00DA5303" w:rsidP="00DA5303">
      <w:pPr>
        <w:numPr>
          <w:ilvl w:val="0"/>
          <w:numId w:val="11"/>
        </w:numPr>
        <w:rPr>
          <w:rFonts w:ascii="Arial" w:hAnsi="Arial" w:cs="Arial"/>
          <w:color w:val="000000" w:themeColor="text1"/>
          <w:lang w:val="en-IN"/>
        </w:rPr>
      </w:pPr>
      <w:r w:rsidRPr="00DA5303">
        <w:rPr>
          <w:rFonts w:ascii="Arial" w:hAnsi="Arial" w:cs="Arial"/>
          <w:b/>
          <w:bCs/>
          <w:color w:val="000000" w:themeColor="text1"/>
          <w:lang w:val="en-IN"/>
        </w:rPr>
        <w:t>High Risk (Delinquent):</w:t>
      </w:r>
      <w:r w:rsidRPr="00DA5303">
        <w:rPr>
          <w:rFonts w:ascii="Arial" w:hAnsi="Arial" w:cs="Arial"/>
          <w:color w:val="000000" w:themeColor="text1"/>
          <w:lang w:val="en-IN"/>
        </w:rPr>
        <w:t xml:space="preserve"> Customer ID: CUST0002 </w:t>
      </w:r>
    </w:p>
    <w:p w14:paraId="13FF5E42"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b/>
          <w:bCs/>
          <w:color w:val="000000" w:themeColor="text1"/>
          <w:lang w:val="en-IN"/>
        </w:rPr>
        <w:t>Total Recent Missed or Late Payments:</w:t>
      </w:r>
      <w:r w:rsidRPr="00DA5303">
        <w:rPr>
          <w:rFonts w:ascii="Arial" w:hAnsi="Arial" w:cs="Arial"/>
          <w:color w:val="000000" w:themeColor="text1"/>
          <w:lang w:val="en-IN"/>
        </w:rPr>
        <w:t xml:space="preserve"> 5 (Missed, Missed, Late, Missed, On-time, On-time)</w:t>
      </w:r>
    </w:p>
    <w:p w14:paraId="46CFB463"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Yes (1)</w:t>
      </w:r>
    </w:p>
    <w:p w14:paraId="29480C76"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color w:val="000000" w:themeColor="text1"/>
          <w:lang w:val="en-IN"/>
        </w:rPr>
        <w:t>This customer had a high number of recent missed or late payments, correlating with their delinquent status.</w:t>
      </w:r>
    </w:p>
    <w:p w14:paraId="4C12E42E" w14:textId="77777777" w:rsidR="00DA5303" w:rsidRPr="00DA5303" w:rsidRDefault="00DA5303" w:rsidP="00DA5303">
      <w:pPr>
        <w:numPr>
          <w:ilvl w:val="0"/>
          <w:numId w:val="11"/>
        </w:numPr>
        <w:rPr>
          <w:rFonts w:ascii="Arial" w:hAnsi="Arial" w:cs="Arial"/>
          <w:color w:val="000000" w:themeColor="text1"/>
          <w:lang w:val="en-IN"/>
        </w:rPr>
      </w:pPr>
      <w:r w:rsidRPr="00DA5303">
        <w:rPr>
          <w:rFonts w:ascii="Arial" w:hAnsi="Arial" w:cs="Arial"/>
          <w:b/>
          <w:bCs/>
          <w:color w:val="000000" w:themeColor="text1"/>
          <w:lang w:val="en-IN"/>
        </w:rPr>
        <w:t>Low Risk (Not Delinquent):</w:t>
      </w:r>
      <w:r w:rsidRPr="00DA5303">
        <w:rPr>
          <w:rFonts w:ascii="Arial" w:hAnsi="Arial" w:cs="Arial"/>
          <w:color w:val="000000" w:themeColor="text1"/>
          <w:lang w:val="en-IN"/>
        </w:rPr>
        <w:t xml:space="preserve"> Customer ID: CUST0015 </w:t>
      </w:r>
    </w:p>
    <w:p w14:paraId="0BC8A656"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b/>
          <w:bCs/>
          <w:color w:val="000000" w:themeColor="text1"/>
          <w:lang w:val="en-IN"/>
        </w:rPr>
        <w:t>Total Recent Missed or Late Payments:</w:t>
      </w:r>
      <w:r w:rsidRPr="00DA5303">
        <w:rPr>
          <w:rFonts w:ascii="Arial" w:hAnsi="Arial" w:cs="Arial"/>
          <w:color w:val="000000" w:themeColor="text1"/>
          <w:lang w:val="en-IN"/>
        </w:rPr>
        <w:t xml:space="preserve"> 6 (Late, Missed, Late, Late, Late, Late)</w:t>
      </w:r>
    </w:p>
    <w:p w14:paraId="2BA1DAC1"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No (0)</w:t>
      </w:r>
    </w:p>
    <w:p w14:paraId="7B51E9B6" w14:textId="77777777" w:rsidR="00DA5303" w:rsidRPr="00DA5303" w:rsidRDefault="00DA5303" w:rsidP="00DA5303">
      <w:pPr>
        <w:numPr>
          <w:ilvl w:val="1"/>
          <w:numId w:val="11"/>
        </w:numPr>
        <w:rPr>
          <w:rFonts w:ascii="Arial" w:hAnsi="Arial" w:cs="Arial"/>
          <w:color w:val="000000" w:themeColor="text1"/>
          <w:lang w:val="en-IN"/>
        </w:rPr>
      </w:pPr>
      <w:r w:rsidRPr="00DA5303">
        <w:rPr>
          <w:rFonts w:ascii="Arial" w:hAnsi="Arial" w:cs="Arial"/>
          <w:color w:val="000000" w:themeColor="text1"/>
          <w:lang w:val="en-IN"/>
        </w:rPr>
        <w:lastRenderedPageBreak/>
        <w:t>This customer had a high number of recent missed or late payments, however their account is not delinquent.</w:t>
      </w:r>
    </w:p>
    <w:p w14:paraId="107FF5E3" w14:textId="77777777" w:rsidR="00DA5303" w:rsidRPr="00DA5303" w:rsidRDefault="00DA5303" w:rsidP="00DA5303">
      <w:pPr>
        <w:rPr>
          <w:rFonts w:ascii="Arial" w:hAnsi="Arial" w:cs="Arial"/>
          <w:color w:val="000000" w:themeColor="text1"/>
          <w:lang w:val="en-IN"/>
        </w:rPr>
      </w:pPr>
      <w:r w:rsidRPr="00DA5303">
        <w:rPr>
          <w:rFonts w:ascii="Arial" w:hAnsi="Arial" w:cs="Arial"/>
          <w:b/>
          <w:bCs/>
          <w:color w:val="000000" w:themeColor="text1"/>
          <w:lang w:val="en-IN"/>
        </w:rPr>
        <w:t>3. Credit Score</w:t>
      </w:r>
    </w:p>
    <w:p w14:paraId="1808C83B" w14:textId="77777777" w:rsidR="00DA5303" w:rsidRPr="00DA5303" w:rsidRDefault="00DA5303" w:rsidP="00DA5303">
      <w:pPr>
        <w:numPr>
          <w:ilvl w:val="0"/>
          <w:numId w:val="12"/>
        </w:numPr>
        <w:rPr>
          <w:rFonts w:ascii="Arial" w:hAnsi="Arial" w:cs="Arial"/>
          <w:color w:val="000000" w:themeColor="text1"/>
          <w:lang w:val="en-IN"/>
        </w:rPr>
      </w:pPr>
      <w:r w:rsidRPr="00DA5303">
        <w:rPr>
          <w:rFonts w:ascii="Arial" w:hAnsi="Arial" w:cs="Arial"/>
          <w:b/>
          <w:bCs/>
          <w:color w:val="000000" w:themeColor="text1"/>
          <w:lang w:val="en-IN"/>
        </w:rPr>
        <w:t>High Risk (Delinquent):</w:t>
      </w:r>
      <w:r w:rsidRPr="00DA5303">
        <w:rPr>
          <w:rFonts w:ascii="Arial" w:hAnsi="Arial" w:cs="Arial"/>
          <w:color w:val="000000" w:themeColor="text1"/>
          <w:lang w:val="en-IN"/>
        </w:rPr>
        <w:t xml:space="preserve"> Customer ID: CUST0035 </w:t>
      </w:r>
    </w:p>
    <w:p w14:paraId="23F62CD8"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b/>
          <w:bCs/>
          <w:color w:val="000000" w:themeColor="text1"/>
          <w:lang w:val="en-IN"/>
        </w:rPr>
        <w:t>Credit Score:</w:t>
      </w:r>
      <w:r w:rsidRPr="00DA5303">
        <w:rPr>
          <w:rFonts w:ascii="Arial" w:hAnsi="Arial" w:cs="Arial"/>
          <w:color w:val="000000" w:themeColor="text1"/>
          <w:lang w:val="en-IN"/>
        </w:rPr>
        <w:t xml:space="preserve"> 316 (which is a low score)</w:t>
      </w:r>
    </w:p>
    <w:p w14:paraId="362310CB"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Yes (1)</w:t>
      </w:r>
    </w:p>
    <w:p w14:paraId="7A4809AB"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color w:val="000000" w:themeColor="text1"/>
          <w:lang w:val="en-IN"/>
        </w:rPr>
        <w:t>This customer has a very low credit score, which is consistent with their delinquent account.</w:t>
      </w:r>
    </w:p>
    <w:p w14:paraId="38A7E1BA" w14:textId="77777777" w:rsidR="00DA5303" w:rsidRPr="00DA5303" w:rsidRDefault="00DA5303" w:rsidP="00DA5303">
      <w:pPr>
        <w:numPr>
          <w:ilvl w:val="0"/>
          <w:numId w:val="12"/>
        </w:numPr>
        <w:rPr>
          <w:rFonts w:ascii="Arial" w:hAnsi="Arial" w:cs="Arial"/>
          <w:color w:val="000000" w:themeColor="text1"/>
          <w:lang w:val="en-IN"/>
        </w:rPr>
      </w:pPr>
      <w:r w:rsidRPr="00DA5303">
        <w:rPr>
          <w:rFonts w:ascii="Arial" w:hAnsi="Arial" w:cs="Arial"/>
          <w:b/>
          <w:bCs/>
          <w:color w:val="000000" w:themeColor="text1"/>
          <w:lang w:val="en-IN"/>
        </w:rPr>
        <w:t>Low Risk (Not Delinquent):</w:t>
      </w:r>
      <w:r w:rsidRPr="00DA5303">
        <w:rPr>
          <w:rFonts w:ascii="Arial" w:hAnsi="Arial" w:cs="Arial"/>
          <w:color w:val="000000" w:themeColor="text1"/>
          <w:lang w:val="en-IN"/>
        </w:rPr>
        <w:t xml:space="preserve"> Customer ID: CUST0019 </w:t>
      </w:r>
    </w:p>
    <w:p w14:paraId="1B8B791C"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b/>
          <w:bCs/>
          <w:color w:val="000000" w:themeColor="text1"/>
          <w:lang w:val="en-IN"/>
        </w:rPr>
        <w:t>Credit Score:</w:t>
      </w:r>
      <w:r w:rsidRPr="00DA5303">
        <w:rPr>
          <w:rFonts w:ascii="Arial" w:hAnsi="Arial" w:cs="Arial"/>
          <w:color w:val="000000" w:themeColor="text1"/>
          <w:lang w:val="en-IN"/>
        </w:rPr>
        <w:t xml:space="preserve"> 831 (which is a high score)</w:t>
      </w:r>
    </w:p>
    <w:p w14:paraId="50B1E729"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b/>
          <w:bCs/>
          <w:color w:val="000000" w:themeColor="text1"/>
          <w:lang w:val="en-IN"/>
        </w:rPr>
        <w:t>Delinquent Account:</w:t>
      </w:r>
      <w:r w:rsidRPr="00DA5303">
        <w:rPr>
          <w:rFonts w:ascii="Arial" w:hAnsi="Arial" w:cs="Arial"/>
          <w:color w:val="000000" w:themeColor="text1"/>
          <w:lang w:val="en-IN"/>
        </w:rPr>
        <w:t xml:space="preserve"> No (0)</w:t>
      </w:r>
    </w:p>
    <w:p w14:paraId="53FDEE61" w14:textId="77777777" w:rsidR="00DA5303" w:rsidRPr="00DA5303" w:rsidRDefault="00DA5303" w:rsidP="00DA5303">
      <w:pPr>
        <w:numPr>
          <w:ilvl w:val="1"/>
          <w:numId w:val="12"/>
        </w:numPr>
        <w:rPr>
          <w:rFonts w:ascii="Arial" w:hAnsi="Arial" w:cs="Arial"/>
          <w:color w:val="000000" w:themeColor="text1"/>
          <w:lang w:val="en-IN"/>
        </w:rPr>
      </w:pPr>
      <w:r w:rsidRPr="00DA5303">
        <w:rPr>
          <w:rFonts w:ascii="Arial" w:hAnsi="Arial" w:cs="Arial"/>
          <w:color w:val="000000" w:themeColor="text1"/>
          <w:lang w:val="en-IN"/>
        </w:rPr>
        <w:t>This customer has a high credit score, and their account is not delinquent.</w:t>
      </w:r>
    </w:p>
    <w:tbl>
      <w:tblPr>
        <w:tblStyle w:val="TableGrid"/>
        <w:tblW w:w="0" w:type="auto"/>
        <w:tblInd w:w="174" w:type="dxa"/>
        <w:tblLook w:val="0000" w:firstRow="0" w:lastRow="0" w:firstColumn="0" w:lastColumn="0" w:noHBand="0" w:noVBand="0"/>
      </w:tblPr>
      <w:tblGrid>
        <w:gridCol w:w="1598"/>
        <w:gridCol w:w="1730"/>
        <w:gridCol w:w="3176"/>
        <w:gridCol w:w="2150"/>
      </w:tblGrid>
      <w:tr w:rsidR="00DA5303" w14:paraId="1DED4330" w14:textId="77777777" w:rsidTr="00DA5303">
        <w:tblPrEx>
          <w:tblCellMar>
            <w:top w:w="0" w:type="dxa"/>
            <w:bottom w:w="0" w:type="dxa"/>
          </w:tblCellMar>
        </w:tblPrEx>
        <w:tc>
          <w:tcPr>
            <w:tcW w:w="1525" w:type="dxa"/>
          </w:tcPr>
          <w:p w14:paraId="251F4936" w14:textId="1D2BCD6B" w:rsidR="00DA5303" w:rsidRDefault="00DA5303">
            <w:pPr>
              <w:rPr>
                <w:rFonts w:ascii="Arial" w:hAnsi="Arial" w:cs="Arial"/>
                <w:color w:val="000000" w:themeColor="text1"/>
              </w:rPr>
            </w:pPr>
            <w:r w:rsidRPr="00DA5303">
              <w:rPr>
                <w:rFonts w:ascii="Arial" w:hAnsi="Arial" w:cs="Arial"/>
                <w:color w:val="000000" w:themeColor="text1"/>
              </w:rPr>
              <w:t>Key Insight</w:t>
            </w:r>
          </w:p>
        </w:tc>
        <w:tc>
          <w:tcPr>
            <w:tcW w:w="1730" w:type="dxa"/>
          </w:tcPr>
          <w:p w14:paraId="3C4858A3" w14:textId="4DEC3FC0" w:rsidR="00DA5303" w:rsidRDefault="00DA5303">
            <w:pPr>
              <w:rPr>
                <w:rFonts w:ascii="Arial" w:hAnsi="Arial" w:cs="Arial"/>
                <w:color w:val="000000" w:themeColor="text1"/>
              </w:rPr>
            </w:pPr>
            <w:r w:rsidRPr="00DA5303">
              <w:rPr>
                <w:rFonts w:ascii="Arial" w:hAnsi="Arial" w:cs="Arial"/>
                <w:color w:val="000000" w:themeColor="text1"/>
              </w:rPr>
              <w:t>Customer Segment</w:t>
            </w:r>
          </w:p>
        </w:tc>
        <w:tc>
          <w:tcPr>
            <w:tcW w:w="3176" w:type="dxa"/>
          </w:tcPr>
          <w:p w14:paraId="3E7D2BA6" w14:textId="7DAF23E5" w:rsidR="00DA5303" w:rsidRDefault="00DA5303">
            <w:pPr>
              <w:rPr>
                <w:rFonts w:ascii="Arial" w:hAnsi="Arial" w:cs="Arial"/>
                <w:color w:val="000000" w:themeColor="text1"/>
              </w:rPr>
            </w:pPr>
            <w:r w:rsidRPr="00DA5303">
              <w:rPr>
                <w:rFonts w:ascii="Arial" w:hAnsi="Arial" w:cs="Arial"/>
                <w:color w:val="000000" w:themeColor="text1"/>
              </w:rPr>
              <w:t>Influencing Variables</w:t>
            </w:r>
          </w:p>
        </w:tc>
        <w:tc>
          <w:tcPr>
            <w:tcW w:w="2150" w:type="dxa"/>
          </w:tcPr>
          <w:p w14:paraId="63004F40" w14:textId="6DAF1337" w:rsidR="00DA5303" w:rsidRDefault="00DA5303">
            <w:pPr>
              <w:rPr>
                <w:rFonts w:ascii="Arial" w:hAnsi="Arial" w:cs="Arial"/>
                <w:color w:val="000000" w:themeColor="text1"/>
              </w:rPr>
            </w:pPr>
            <w:r w:rsidRPr="00DA5303">
              <w:rPr>
                <w:rFonts w:ascii="Arial" w:hAnsi="Arial" w:cs="Arial"/>
                <w:color w:val="000000" w:themeColor="text1"/>
              </w:rPr>
              <w:t>Potential Impact</w:t>
            </w:r>
          </w:p>
        </w:tc>
      </w:tr>
      <w:tr w:rsidR="00DA5303" w14:paraId="3660FC9E" w14:textId="77777777" w:rsidTr="00DA5303">
        <w:tblPrEx>
          <w:tblCellMar>
            <w:top w:w="0" w:type="dxa"/>
            <w:bottom w:w="0" w:type="dxa"/>
          </w:tblCellMar>
        </w:tblPrEx>
        <w:tc>
          <w:tcPr>
            <w:tcW w:w="1525" w:type="dxa"/>
          </w:tcPr>
          <w:p w14:paraId="32E1C4FB" w14:textId="752E3F6D" w:rsidR="00DA5303" w:rsidRDefault="00DA5303">
            <w:pPr>
              <w:rPr>
                <w:rFonts w:ascii="Arial" w:hAnsi="Arial" w:cs="Arial"/>
                <w:color w:val="000000" w:themeColor="text1"/>
              </w:rPr>
            </w:pPr>
            <w:r w:rsidRPr="00DA5303">
              <w:rPr>
                <w:rFonts w:ascii="Arial" w:hAnsi="Arial" w:cs="Arial"/>
                <w:b/>
                <w:bCs/>
                <w:color w:val="000000" w:themeColor="text1"/>
              </w:rPr>
              <w:t>High Number of Missed Payments Significantly Increases Delinquency Risk:</w:t>
            </w:r>
            <w:r w:rsidRPr="00DA5303">
              <w:rPr>
                <w:rFonts w:ascii="Arial" w:hAnsi="Arial" w:cs="Arial"/>
                <w:color w:val="000000" w:themeColor="text1"/>
              </w:rPr>
              <w:t xml:space="preserve"> Customers with a history of missing multiple payments are highly prone to account delinquency.</w:t>
            </w:r>
          </w:p>
          <w:p w14:paraId="559C8704" w14:textId="77777777" w:rsidR="00DA5303" w:rsidRDefault="00DA5303">
            <w:pPr>
              <w:rPr>
                <w:rFonts w:ascii="Arial" w:hAnsi="Arial" w:cs="Arial"/>
                <w:color w:val="000000" w:themeColor="text1"/>
              </w:rPr>
            </w:pPr>
          </w:p>
          <w:p w14:paraId="65736F53" w14:textId="77777777" w:rsidR="00DA5303" w:rsidRDefault="00DA5303">
            <w:pPr>
              <w:rPr>
                <w:rFonts w:ascii="Arial" w:hAnsi="Arial" w:cs="Arial"/>
                <w:color w:val="000000" w:themeColor="text1"/>
              </w:rPr>
            </w:pPr>
          </w:p>
        </w:tc>
        <w:tc>
          <w:tcPr>
            <w:tcW w:w="1730" w:type="dxa"/>
          </w:tcPr>
          <w:p w14:paraId="1882AEC1" w14:textId="19E68F44" w:rsidR="00DA5303" w:rsidRDefault="00DA5303">
            <w:pPr>
              <w:rPr>
                <w:rFonts w:ascii="Arial" w:hAnsi="Arial" w:cs="Arial"/>
                <w:color w:val="000000" w:themeColor="text1"/>
              </w:rPr>
            </w:pPr>
            <w:r w:rsidRPr="00DA5303">
              <w:rPr>
                <w:rFonts w:ascii="Arial" w:hAnsi="Arial" w:cs="Arial"/>
                <w:color w:val="000000" w:themeColor="text1"/>
              </w:rPr>
              <w:t>Customers with a pattern of frequent missed payments.</w:t>
            </w:r>
          </w:p>
        </w:tc>
        <w:tc>
          <w:tcPr>
            <w:tcW w:w="3176" w:type="dxa"/>
          </w:tcPr>
          <w:p w14:paraId="6876CF4B" w14:textId="6E4DD3E4" w:rsidR="00DA5303" w:rsidRDefault="00DA5303">
            <w:pPr>
              <w:rPr>
                <w:rFonts w:ascii="Arial" w:hAnsi="Arial" w:cs="Arial"/>
                <w:color w:val="000000" w:themeColor="text1"/>
              </w:rPr>
            </w:pPr>
            <w:r w:rsidRPr="00DA5303">
              <w:rPr>
                <w:rFonts w:ascii="Arial" w:hAnsi="Arial" w:cs="Arial"/>
                <w:color w:val="000000" w:themeColor="text1"/>
              </w:rPr>
              <w:t>Missed_Payments, Delinquent_Account</w:t>
            </w:r>
          </w:p>
        </w:tc>
        <w:tc>
          <w:tcPr>
            <w:tcW w:w="2150" w:type="dxa"/>
          </w:tcPr>
          <w:p w14:paraId="30FB5E64" w14:textId="213E13E2" w:rsidR="00DA5303" w:rsidRDefault="00DA5303">
            <w:pPr>
              <w:rPr>
                <w:rFonts w:ascii="Arial" w:hAnsi="Arial" w:cs="Arial"/>
                <w:color w:val="000000" w:themeColor="text1"/>
              </w:rPr>
            </w:pPr>
            <w:r w:rsidRPr="00DA5303">
              <w:rPr>
                <w:rFonts w:ascii="Arial" w:hAnsi="Arial" w:cs="Arial"/>
                <w:color w:val="000000" w:themeColor="text1"/>
              </w:rPr>
              <w:t>Implement automated early warning systems and proactive outreach programs (e.g., payment reminders, financial counseling) for customers as their number of missed payments increases, before they become delinquent.</w:t>
            </w:r>
          </w:p>
        </w:tc>
      </w:tr>
      <w:tr w:rsidR="00DA5303" w14:paraId="34BFAD05" w14:textId="77777777" w:rsidTr="00DA5303">
        <w:tblPrEx>
          <w:tblCellMar>
            <w:top w:w="0" w:type="dxa"/>
            <w:bottom w:w="0" w:type="dxa"/>
          </w:tblCellMar>
        </w:tblPrEx>
        <w:tc>
          <w:tcPr>
            <w:tcW w:w="1525" w:type="dxa"/>
          </w:tcPr>
          <w:p w14:paraId="1F94BCC6" w14:textId="3D29C65B" w:rsidR="00DA5303" w:rsidRPr="00E76F62" w:rsidRDefault="00DA5303">
            <w:pPr>
              <w:rPr>
                <w:rFonts w:ascii="Arial" w:hAnsi="Arial" w:cs="Arial"/>
                <w:b/>
                <w:bCs/>
                <w:color w:val="000000" w:themeColor="text1"/>
              </w:rPr>
            </w:pPr>
            <w:r w:rsidRPr="00E76F62">
              <w:rPr>
                <w:rFonts w:ascii="Arial" w:hAnsi="Arial" w:cs="Arial"/>
                <w:b/>
                <w:bCs/>
                <w:color w:val="000000" w:themeColor="text1"/>
              </w:rPr>
              <w:t xml:space="preserve">Recent Payment Behavior (Missed/Late Payments) is a Strong Predictor of Delinquency: </w:t>
            </w:r>
            <w:r w:rsidRPr="00E76F62">
              <w:rPr>
                <w:rFonts w:ascii="Arial" w:hAnsi="Arial" w:cs="Arial"/>
                <w:color w:val="000000" w:themeColor="text1"/>
              </w:rPr>
              <w:t xml:space="preserve">An accumulation </w:t>
            </w:r>
            <w:r w:rsidRPr="00E76F62">
              <w:rPr>
                <w:rFonts w:ascii="Arial" w:hAnsi="Arial" w:cs="Arial"/>
                <w:color w:val="000000" w:themeColor="text1"/>
              </w:rPr>
              <w:lastRenderedPageBreak/>
              <w:t>of missed or late payments in recent months is a critical indicator of impending delinquency.</w:t>
            </w:r>
          </w:p>
        </w:tc>
        <w:tc>
          <w:tcPr>
            <w:tcW w:w="1730" w:type="dxa"/>
          </w:tcPr>
          <w:p w14:paraId="281AC628" w14:textId="58C9E9E9" w:rsidR="00DA5303" w:rsidRPr="00DA5303" w:rsidRDefault="00DA5303">
            <w:pPr>
              <w:rPr>
                <w:rFonts w:ascii="Arial" w:hAnsi="Arial" w:cs="Arial"/>
                <w:color w:val="000000" w:themeColor="text1"/>
              </w:rPr>
            </w:pPr>
            <w:r w:rsidRPr="00DA5303">
              <w:rPr>
                <w:rFonts w:ascii="Arial" w:hAnsi="Arial" w:cs="Arial"/>
                <w:color w:val="000000" w:themeColor="text1"/>
              </w:rPr>
              <w:lastRenderedPageBreak/>
              <w:t>Customers showing a trend of accumulating missed or late payments over the past six months.</w:t>
            </w:r>
          </w:p>
        </w:tc>
        <w:tc>
          <w:tcPr>
            <w:tcW w:w="3176" w:type="dxa"/>
          </w:tcPr>
          <w:p w14:paraId="2630B849" w14:textId="39BB82A1" w:rsidR="00DA5303" w:rsidRPr="00DA5303" w:rsidRDefault="00DA5303">
            <w:pPr>
              <w:rPr>
                <w:rFonts w:ascii="Arial" w:hAnsi="Arial" w:cs="Arial"/>
                <w:color w:val="000000" w:themeColor="text1"/>
              </w:rPr>
            </w:pPr>
            <w:r w:rsidRPr="00DA5303">
              <w:rPr>
                <w:rFonts w:ascii="Arial" w:hAnsi="Arial" w:cs="Arial"/>
                <w:color w:val="000000" w:themeColor="text1"/>
              </w:rPr>
              <w:t>Total_Missed_Late_Payments (derived from Month_1 to Month_6), Delinquent_Account</w:t>
            </w:r>
          </w:p>
        </w:tc>
        <w:tc>
          <w:tcPr>
            <w:tcW w:w="2150" w:type="dxa"/>
          </w:tcPr>
          <w:p w14:paraId="03A7A4E7" w14:textId="77777777" w:rsidR="00DA5303" w:rsidRDefault="00DA5303">
            <w:pPr>
              <w:rPr>
                <w:rFonts w:ascii="Arial" w:hAnsi="Arial" w:cs="Arial"/>
                <w:color w:val="000000" w:themeColor="text1"/>
              </w:rPr>
            </w:pPr>
            <w:r w:rsidRPr="00DA5303">
              <w:rPr>
                <w:rFonts w:ascii="Arial" w:hAnsi="Arial" w:cs="Arial"/>
                <w:color w:val="000000" w:themeColor="text1"/>
              </w:rPr>
              <w:t xml:space="preserve">Develop a dynamic risk scoring model based on recent payment statuses to identify and prioritize at-risk customers for targeted interventions, such as tailored payment </w:t>
            </w:r>
            <w:r w:rsidRPr="00DA5303">
              <w:rPr>
                <w:rFonts w:ascii="Arial" w:hAnsi="Arial" w:cs="Arial"/>
                <w:color w:val="000000" w:themeColor="text1"/>
              </w:rPr>
              <w:lastRenderedPageBreak/>
              <w:t>plans or temporary credit limit adjustments.</w:t>
            </w:r>
          </w:p>
          <w:p w14:paraId="361A947F" w14:textId="0190868A" w:rsidR="00DA5303" w:rsidRPr="00DA5303" w:rsidRDefault="00DA5303">
            <w:pPr>
              <w:rPr>
                <w:rFonts w:ascii="Arial" w:hAnsi="Arial" w:cs="Arial"/>
                <w:color w:val="000000" w:themeColor="text1"/>
              </w:rPr>
            </w:pPr>
          </w:p>
        </w:tc>
      </w:tr>
      <w:tr w:rsidR="00DA5303" w14:paraId="2E59D65D" w14:textId="77777777" w:rsidTr="00DA5303">
        <w:tblPrEx>
          <w:tblCellMar>
            <w:top w:w="0" w:type="dxa"/>
            <w:bottom w:w="0" w:type="dxa"/>
          </w:tblCellMar>
        </w:tblPrEx>
        <w:tc>
          <w:tcPr>
            <w:tcW w:w="1525" w:type="dxa"/>
          </w:tcPr>
          <w:p w14:paraId="50CF59D6" w14:textId="48B8CFA3" w:rsidR="00DA5303" w:rsidRPr="00DA5303" w:rsidRDefault="00DA5303">
            <w:pPr>
              <w:rPr>
                <w:rFonts w:ascii="Arial" w:hAnsi="Arial" w:cs="Arial"/>
                <w:color w:val="000000" w:themeColor="text1"/>
              </w:rPr>
            </w:pPr>
            <w:r w:rsidRPr="00E76F62">
              <w:rPr>
                <w:rFonts w:ascii="Arial" w:hAnsi="Arial" w:cs="Arial"/>
                <w:b/>
                <w:bCs/>
                <w:color w:val="000000" w:themeColor="text1"/>
              </w:rPr>
              <w:lastRenderedPageBreak/>
              <w:t>Lower Credit Scores Directly Correlate with Higher Delinquency Rates:</w:t>
            </w:r>
            <w:r w:rsidRPr="00DA5303">
              <w:rPr>
                <w:rFonts w:ascii="Arial" w:hAnsi="Arial" w:cs="Arial"/>
                <w:color w:val="000000" w:themeColor="text1"/>
              </w:rPr>
              <w:t xml:space="preserve"> Customers with lower credit scores exhibit a substantially elevated risk of having a delinquent account.</w:t>
            </w:r>
          </w:p>
        </w:tc>
        <w:tc>
          <w:tcPr>
            <w:tcW w:w="1730" w:type="dxa"/>
          </w:tcPr>
          <w:p w14:paraId="3DB65244" w14:textId="701B999C" w:rsidR="00DA5303" w:rsidRPr="00DA5303" w:rsidRDefault="00DA5303">
            <w:pPr>
              <w:rPr>
                <w:rFonts w:ascii="Arial" w:hAnsi="Arial" w:cs="Arial"/>
                <w:color w:val="000000" w:themeColor="text1"/>
              </w:rPr>
            </w:pPr>
            <w:r w:rsidRPr="00DA5303">
              <w:rPr>
                <w:rFonts w:ascii="Arial" w:hAnsi="Arial" w:cs="Arial"/>
                <w:color w:val="000000" w:themeColor="text1"/>
              </w:rPr>
              <w:t>Customers with low credit scores (e.g., below a certain threshold).</w:t>
            </w:r>
          </w:p>
        </w:tc>
        <w:tc>
          <w:tcPr>
            <w:tcW w:w="3176" w:type="dxa"/>
          </w:tcPr>
          <w:p w14:paraId="167EC748" w14:textId="739AB412" w:rsidR="00DA5303" w:rsidRPr="00DA5303" w:rsidRDefault="00DA5303">
            <w:pPr>
              <w:rPr>
                <w:rFonts w:ascii="Arial" w:hAnsi="Arial" w:cs="Arial"/>
                <w:color w:val="000000" w:themeColor="text1"/>
              </w:rPr>
            </w:pPr>
            <w:r w:rsidRPr="00DA5303">
              <w:rPr>
                <w:rFonts w:ascii="Arial" w:hAnsi="Arial" w:cs="Arial"/>
                <w:color w:val="000000" w:themeColor="text1"/>
              </w:rPr>
              <w:t>Credit_Score, Delinquent_Account</w:t>
            </w:r>
          </w:p>
        </w:tc>
        <w:tc>
          <w:tcPr>
            <w:tcW w:w="2150" w:type="dxa"/>
          </w:tcPr>
          <w:p w14:paraId="18AFE110" w14:textId="1B6D9C6C" w:rsidR="00DA5303" w:rsidRPr="00DA5303" w:rsidRDefault="00DA5303">
            <w:pPr>
              <w:rPr>
                <w:rFonts w:ascii="Arial" w:hAnsi="Arial" w:cs="Arial"/>
                <w:color w:val="000000" w:themeColor="text1"/>
              </w:rPr>
            </w:pPr>
            <w:r w:rsidRPr="00DA5303">
              <w:rPr>
                <w:rFonts w:ascii="Arial" w:hAnsi="Arial" w:cs="Arial"/>
                <w:color w:val="000000" w:themeColor="text1"/>
              </w:rPr>
              <w:t>Design and offer financial literacy workshops or specialized credit products with structured repayment terms to customers with low credit scores. This can help them improve their creditworthiness and reduce the overall portfolio delinquency rate.</w:t>
            </w:r>
          </w:p>
        </w:tc>
      </w:tr>
    </w:tbl>
    <w:p w14:paraId="25ED62C8" w14:textId="77777777" w:rsidR="00DA5303" w:rsidRPr="00A537D1" w:rsidRDefault="00DA5303">
      <w:pPr>
        <w:rPr>
          <w:rFonts w:ascii="Arial" w:hAnsi="Arial" w:cs="Arial"/>
          <w:color w:val="000000" w:themeColor="text1"/>
        </w:rPr>
      </w:pPr>
    </w:p>
    <w:p w14:paraId="72833B3F" w14:textId="77777777" w:rsidR="007D72C2" w:rsidRDefault="00A537D1">
      <w:pPr>
        <w:pStyle w:val="Heading1"/>
        <w:rPr>
          <w:rFonts w:ascii="Arial" w:hAnsi="Arial" w:cs="Arial"/>
          <w:color w:val="000000" w:themeColor="text1"/>
        </w:rPr>
      </w:pPr>
      <w:r w:rsidRPr="00A537D1">
        <w:rPr>
          <w:rFonts w:ascii="Arial" w:hAnsi="Arial" w:cs="Arial"/>
          <w:color w:val="000000" w:themeColor="text1"/>
        </w:rPr>
        <w:t>2. Recommendation Framework</w:t>
      </w:r>
    </w:p>
    <w:p w14:paraId="7E0ACA92" w14:textId="77777777" w:rsidR="00747A2C" w:rsidRPr="00747A2C" w:rsidRDefault="00747A2C" w:rsidP="00747A2C">
      <w:pPr>
        <w:rPr>
          <w:lang w:val="en-IN"/>
        </w:rPr>
      </w:pPr>
      <w:r w:rsidRPr="00747A2C">
        <w:rPr>
          <w:lang w:val="en-IN"/>
        </w:rPr>
        <w:t>Here's the SMART business recommendation, executive summary, and SMART goal:</w:t>
      </w:r>
    </w:p>
    <w:p w14:paraId="7F0A3AB2" w14:textId="77777777" w:rsidR="00747A2C" w:rsidRPr="00747A2C" w:rsidRDefault="00747A2C" w:rsidP="00747A2C">
      <w:pPr>
        <w:rPr>
          <w:b/>
          <w:bCs/>
          <w:lang w:val="en-IN"/>
        </w:rPr>
      </w:pPr>
      <w:r w:rsidRPr="00747A2C">
        <w:rPr>
          <w:b/>
          <w:bCs/>
          <w:lang w:val="en-IN"/>
        </w:rPr>
        <w:t>SMART Business Recommendation</w:t>
      </w:r>
    </w:p>
    <w:p w14:paraId="467AC203" w14:textId="77777777" w:rsidR="00747A2C" w:rsidRPr="00747A2C" w:rsidRDefault="00747A2C" w:rsidP="00747A2C">
      <w:pPr>
        <w:rPr>
          <w:lang w:val="en-IN"/>
        </w:rPr>
      </w:pPr>
      <w:r w:rsidRPr="00747A2C">
        <w:rPr>
          <w:b/>
          <w:bCs/>
          <w:lang w:val="en-IN"/>
        </w:rPr>
        <w:t>Implement a Proactive Credit Improvement Program for At-Risk Customers</w:t>
      </w:r>
    </w:p>
    <w:p w14:paraId="6E71D6F6" w14:textId="77777777" w:rsidR="00747A2C" w:rsidRPr="00747A2C" w:rsidRDefault="00747A2C" w:rsidP="00747A2C">
      <w:pPr>
        <w:rPr>
          <w:lang w:val="en-IN"/>
        </w:rPr>
      </w:pPr>
      <w:r w:rsidRPr="00747A2C">
        <w:rPr>
          <w:b/>
          <w:bCs/>
          <w:lang w:val="en-IN"/>
        </w:rPr>
        <w:t>Recommendation:</w:t>
      </w:r>
      <w:r w:rsidRPr="00747A2C">
        <w:rPr>
          <w:lang w:val="en-IN"/>
        </w:rPr>
        <w:t xml:space="preserve"> By </w:t>
      </w:r>
      <w:r w:rsidRPr="00747A2C">
        <w:rPr>
          <w:b/>
          <w:bCs/>
          <w:lang w:val="en-IN"/>
        </w:rPr>
        <w:t>Q4 2025</w:t>
      </w:r>
      <w:r w:rsidRPr="00747A2C">
        <w:rPr>
          <w:lang w:val="en-IN"/>
        </w:rPr>
        <w:t xml:space="preserve">, launch a </w:t>
      </w:r>
      <w:r w:rsidRPr="00747A2C">
        <w:rPr>
          <w:b/>
          <w:bCs/>
          <w:lang w:val="en-IN"/>
        </w:rPr>
        <w:t>"Credit Empowerment Program"</w:t>
      </w:r>
      <w:r w:rsidRPr="00747A2C">
        <w:rPr>
          <w:lang w:val="en-IN"/>
        </w:rPr>
        <w:t xml:space="preserve"> targeting customers with credit scores below 500 and a history of one or more missed payments, aiming to provide personalized financial counseling and flexible payment options. This program will aim to </w:t>
      </w:r>
      <w:r w:rsidRPr="00747A2C">
        <w:rPr>
          <w:b/>
          <w:bCs/>
          <w:lang w:val="en-IN"/>
        </w:rPr>
        <w:t>reduce the delinquency rate among participating customers by 15%</w:t>
      </w:r>
      <w:r w:rsidRPr="00747A2C">
        <w:rPr>
          <w:lang w:val="en-IN"/>
        </w:rPr>
        <w:t xml:space="preserve"> within 12 months of enrollment.</w:t>
      </w:r>
    </w:p>
    <w:p w14:paraId="20508E76" w14:textId="77777777" w:rsidR="00747A2C" w:rsidRPr="00747A2C" w:rsidRDefault="00747A2C" w:rsidP="00747A2C">
      <w:pPr>
        <w:rPr>
          <w:b/>
          <w:bCs/>
          <w:lang w:val="en-IN"/>
        </w:rPr>
      </w:pPr>
      <w:r w:rsidRPr="00747A2C">
        <w:rPr>
          <w:b/>
          <w:bCs/>
          <w:lang w:val="en-IN"/>
        </w:rPr>
        <w:t>Executive Summary</w:t>
      </w:r>
    </w:p>
    <w:p w14:paraId="4D75F858" w14:textId="77777777" w:rsidR="00747A2C" w:rsidRPr="00747A2C" w:rsidRDefault="00747A2C" w:rsidP="00747A2C">
      <w:pPr>
        <w:rPr>
          <w:lang w:val="en-IN"/>
        </w:rPr>
      </w:pPr>
      <w:r w:rsidRPr="00747A2C">
        <w:rPr>
          <w:lang w:val="en-IN"/>
        </w:rPr>
        <w:t xml:space="preserve">The strong correlation between low credit scores and high delinquency rates presents a critical opportunity to mitigate financial risk and enhance customer loyalty. This recommendation proposes the </w:t>
      </w:r>
      <w:r w:rsidRPr="00747A2C">
        <w:rPr>
          <w:b/>
          <w:bCs/>
          <w:lang w:val="en-IN"/>
        </w:rPr>
        <w:t>Credit Empowerment Program</w:t>
      </w:r>
      <w:r w:rsidRPr="00747A2C">
        <w:rPr>
          <w:lang w:val="en-IN"/>
        </w:rPr>
        <w:t xml:space="preserve">, a strategic initiative designed to proactively support customers with low credit scores. By offering tailored financial counseling and flexible payment solutions, we can empower these at-risk customers to improve their credit health. This direct intervention is expected to </w:t>
      </w:r>
      <w:r w:rsidRPr="00747A2C">
        <w:rPr>
          <w:b/>
          <w:bCs/>
          <w:lang w:val="en-IN"/>
        </w:rPr>
        <w:t>reduce account delinquencies</w:t>
      </w:r>
      <w:r w:rsidRPr="00747A2C">
        <w:rPr>
          <w:lang w:val="en-IN"/>
        </w:rPr>
        <w:t xml:space="preserve">, thereby minimizing loan losses, preserving customer </w:t>
      </w:r>
      <w:r w:rsidRPr="00747A2C">
        <w:rPr>
          <w:lang w:val="en-IN"/>
        </w:rPr>
        <w:lastRenderedPageBreak/>
        <w:t>relationships, and ultimately contributing to the bank's long-term financial stability and profitability. This program aligns with our core business objective of responsible lending and customer portfolio health.</w:t>
      </w:r>
    </w:p>
    <w:p w14:paraId="41C519A4" w14:textId="77777777" w:rsidR="00747A2C" w:rsidRPr="00747A2C" w:rsidRDefault="00747A2C" w:rsidP="00747A2C">
      <w:pPr>
        <w:rPr>
          <w:b/>
          <w:bCs/>
          <w:lang w:val="en-IN"/>
        </w:rPr>
      </w:pPr>
      <w:r w:rsidRPr="00747A2C">
        <w:rPr>
          <w:b/>
          <w:bCs/>
          <w:lang w:val="en-IN"/>
        </w:rPr>
        <w:t>SMART Goal and Stakeholder Explanation</w:t>
      </w:r>
    </w:p>
    <w:p w14:paraId="417581F8" w14:textId="77777777" w:rsidR="00747A2C" w:rsidRPr="00747A2C" w:rsidRDefault="00747A2C" w:rsidP="00747A2C">
      <w:pPr>
        <w:rPr>
          <w:lang w:val="en-IN"/>
        </w:rPr>
      </w:pPr>
      <w:r w:rsidRPr="00747A2C">
        <w:rPr>
          <w:b/>
          <w:bCs/>
          <w:lang w:val="en-IN"/>
        </w:rPr>
        <w:t>SMART Goal:</w:t>
      </w:r>
      <w:r w:rsidRPr="00747A2C">
        <w:rPr>
          <w:lang w:val="en-IN"/>
        </w:rPr>
        <w:t xml:space="preserve"> By </w:t>
      </w:r>
      <w:r w:rsidRPr="00747A2C">
        <w:rPr>
          <w:b/>
          <w:bCs/>
          <w:lang w:val="en-IN"/>
        </w:rPr>
        <w:t>December 31, 2025</w:t>
      </w:r>
      <w:r w:rsidRPr="00747A2C">
        <w:rPr>
          <w:lang w:val="en-IN"/>
        </w:rPr>
        <w:t xml:space="preserve">, achieve a </w:t>
      </w:r>
      <w:r w:rsidRPr="00747A2C">
        <w:rPr>
          <w:b/>
          <w:bCs/>
          <w:lang w:val="en-IN"/>
        </w:rPr>
        <w:t>15% reduction in the delinquency rate</w:t>
      </w:r>
      <w:r w:rsidRPr="00747A2C">
        <w:rPr>
          <w:lang w:val="en-IN"/>
        </w:rPr>
        <w:t xml:space="preserve"> among customers enrolled in the Credit Empowerment Program who had credit scores below 500 at the time of enrollment.</w:t>
      </w:r>
    </w:p>
    <w:p w14:paraId="5407D551" w14:textId="77777777" w:rsidR="00747A2C" w:rsidRPr="00747A2C" w:rsidRDefault="00747A2C" w:rsidP="00747A2C">
      <w:pPr>
        <w:rPr>
          <w:lang w:val="en-IN"/>
        </w:rPr>
      </w:pPr>
      <w:r w:rsidRPr="00747A2C">
        <w:rPr>
          <w:b/>
          <w:bCs/>
          <w:lang w:val="en-IN"/>
        </w:rPr>
        <w:t>Explanation for Stakeholders:</w:t>
      </w:r>
      <w:r w:rsidRPr="00747A2C">
        <w:rPr>
          <w:lang w:val="en-IN"/>
        </w:rPr>
        <w:t xml:space="preserve"> Achieving this goal means we are directly addressing a key driver of loan losses, improving the financial health of our at-risk customers, and ultimately enhancing the overall quality and profitability of our loan portfolio.</w:t>
      </w:r>
    </w:p>
    <w:p w14:paraId="399F2BF8" w14:textId="77777777" w:rsidR="00747A2C" w:rsidRPr="00747A2C" w:rsidRDefault="00747A2C" w:rsidP="00747A2C"/>
    <w:p w14:paraId="08E6A272"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3. Ethical and Responsible AI Considerations</w:t>
      </w:r>
    </w:p>
    <w:p w14:paraId="4DA0063C" w14:textId="77777777" w:rsidR="00747A2C" w:rsidRPr="00747A2C" w:rsidRDefault="00747A2C" w:rsidP="00747A2C">
      <w:pPr>
        <w:rPr>
          <w:rFonts w:ascii="Arial" w:hAnsi="Arial" w:cs="Arial"/>
          <w:color w:val="000000" w:themeColor="text1"/>
          <w:lang w:val="en-IN"/>
        </w:rPr>
      </w:pPr>
      <w:r w:rsidRPr="00747A2C">
        <w:rPr>
          <w:rFonts w:ascii="Arial" w:hAnsi="Arial" w:cs="Arial"/>
          <w:color w:val="000000" w:themeColor="text1"/>
          <w:lang w:val="en-IN"/>
        </w:rPr>
        <w:t>The development and deployment of a financial risk prediction model, especially one influencing decisions like loan delinquency, necessitates careful consideration of several ethical principles. Our analysis highlights areas where potential risks exist and how our recommendations aim to uphold responsible financial practices.</w:t>
      </w:r>
    </w:p>
    <w:p w14:paraId="0F1C191F" w14:textId="77777777" w:rsidR="00747A2C" w:rsidRPr="00747A2C" w:rsidRDefault="00747A2C" w:rsidP="00747A2C">
      <w:pPr>
        <w:numPr>
          <w:ilvl w:val="0"/>
          <w:numId w:val="13"/>
        </w:numPr>
        <w:rPr>
          <w:rFonts w:ascii="Arial" w:hAnsi="Arial" w:cs="Arial"/>
          <w:color w:val="000000" w:themeColor="text1"/>
          <w:lang w:val="en-IN"/>
        </w:rPr>
      </w:pPr>
      <w:r w:rsidRPr="00747A2C">
        <w:rPr>
          <w:rFonts w:ascii="Arial" w:hAnsi="Arial" w:cs="Arial"/>
          <w:b/>
          <w:bCs/>
          <w:color w:val="000000" w:themeColor="text1"/>
          <w:lang w:val="en-IN"/>
        </w:rPr>
        <w:t>Potential for Bias or Unfair Treatment:</w:t>
      </w:r>
      <w:r w:rsidRPr="00747A2C">
        <w:rPr>
          <w:rFonts w:ascii="Arial" w:hAnsi="Arial" w:cs="Arial"/>
          <w:color w:val="000000" w:themeColor="text1"/>
          <w:lang w:val="en-IN"/>
        </w:rPr>
        <w:t xml:space="preserve"> Financial models can inadvertently perpetuate or amplify existing societal biases if not carefully managed.</w:t>
      </w:r>
    </w:p>
    <w:p w14:paraId="43FC6E43" w14:textId="77777777" w:rsidR="00747A2C" w:rsidRPr="00747A2C" w:rsidRDefault="00747A2C" w:rsidP="00747A2C">
      <w:pPr>
        <w:numPr>
          <w:ilvl w:val="1"/>
          <w:numId w:val="13"/>
        </w:numPr>
        <w:rPr>
          <w:rFonts w:ascii="Arial" w:hAnsi="Arial" w:cs="Arial"/>
          <w:color w:val="000000" w:themeColor="text1"/>
          <w:lang w:val="en-IN"/>
        </w:rPr>
      </w:pPr>
      <w:r w:rsidRPr="00747A2C">
        <w:rPr>
          <w:rFonts w:ascii="Arial" w:hAnsi="Arial" w:cs="Arial"/>
          <w:b/>
          <w:bCs/>
          <w:color w:val="000000" w:themeColor="text1"/>
          <w:lang w:val="en-IN"/>
        </w:rPr>
        <w:t>Specific Example related to analysis:</w:t>
      </w:r>
      <w:r w:rsidRPr="00747A2C">
        <w:rPr>
          <w:rFonts w:ascii="Arial" w:hAnsi="Arial" w:cs="Arial"/>
          <w:color w:val="000000" w:themeColor="text1"/>
          <w:lang w:val="en-IN"/>
        </w:rPr>
        <w:t xml:space="preserve"> While not directly analyzed for bias in this report, if the dataset used to train the model disproportionately contained delinquent accounts from specific demographic groups due to historical systemic inequalities (e.g., in access to education or employment affecting income stability), the model might inadvertently learn to associate higher risk with those groups, even without explicit demographic features. This could lead to a higher propensity to flag individuals from these groups as high-risk, potentially leading to unfair treatment in loan approvals or financial product offerings. Similarly, if Employment_Status or Location were found to have significant, unexplained disparities in delinquency rates that reflect historical discrimination, relying solely on these features without further investigation could lead to biased outcomes.</w:t>
      </w:r>
    </w:p>
    <w:p w14:paraId="461EDC6D" w14:textId="77777777" w:rsidR="00747A2C" w:rsidRPr="00747A2C" w:rsidRDefault="00747A2C" w:rsidP="00747A2C">
      <w:pPr>
        <w:numPr>
          <w:ilvl w:val="1"/>
          <w:numId w:val="13"/>
        </w:numPr>
        <w:rPr>
          <w:rFonts w:ascii="Arial" w:hAnsi="Arial" w:cs="Arial"/>
          <w:color w:val="000000" w:themeColor="text1"/>
          <w:lang w:val="en-IN"/>
        </w:rPr>
      </w:pPr>
      <w:r w:rsidRPr="00747A2C">
        <w:rPr>
          <w:rFonts w:ascii="Arial" w:hAnsi="Arial" w:cs="Arial"/>
          <w:b/>
          <w:bCs/>
          <w:color w:val="000000" w:themeColor="text1"/>
          <w:lang w:val="en-IN"/>
        </w:rPr>
        <w:t>Mitigation:</w:t>
      </w:r>
      <w:r w:rsidRPr="00747A2C">
        <w:rPr>
          <w:rFonts w:ascii="Arial" w:hAnsi="Arial" w:cs="Arial"/>
          <w:color w:val="000000" w:themeColor="text1"/>
          <w:lang w:val="en-IN"/>
        </w:rPr>
        <w:t xml:space="preserve"> To address this, future steps would involve performing </w:t>
      </w:r>
      <w:r w:rsidRPr="00747A2C">
        <w:rPr>
          <w:rFonts w:ascii="Arial" w:hAnsi="Arial" w:cs="Arial"/>
          <w:b/>
          <w:bCs/>
          <w:color w:val="000000" w:themeColor="text1"/>
          <w:lang w:val="en-IN"/>
        </w:rPr>
        <w:t>fairness audits</w:t>
      </w:r>
      <w:r w:rsidRPr="00747A2C">
        <w:rPr>
          <w:rFonts w:ascii="Arial" w:hAnsi="Arial" w:cs="Arial"/>
          <w:color w:val="000000" w:themeColor="text1"/>
          <w:lang w:val="en-IN"/>
        </w:rPr>
        <w:t xml:space="preserve"> on the model, measuring metrics like disparate impact across various demographic subgroups (if such data were ethically and legally available for analysis). Implementing techniques like </w:t>
      </w:r>
      <w:r w:rsidRPr="00747A2C">
        <w:rPr>
          <w:rFonts w:ascii="Arial" w:hAnsi="Arial" w:cs="Arial"/>
          <w:b/>
          <w:bCs/>
          <w:color w:val="000000" w:themeColor="text1"/>
          <w:lang w:val="en-IN"/>
        </w:rPr>
        <w:t>bias detection and remediation algorithms</w:t>
      </w:r>
      <w:r w:rsidRPr="00747A2C">
        <w:rPr>
          <w:rFonts w:ascii="Arial" w:hAnsi="Arial" w:cs="Arial"/>
          <w:color w:val="000000" w:themeColor="text1"/>
          <w:lang w:val="en-IN"/>
        </w:rPr>
        <w:t xml:space="preserve"> during model training, and ensuring </w:t>
      </w:r>
      <w:r w:rsidRPr="00747A2C">
        <w:rPr>
          <w:rFonts w:ascii="Arial" w:hAnsi="Arial" w:cs="Arial"/>
          <w:b/>
          <w:bCs/>
          <w:color w:val="000000" w:themeColor="text1"/>
          <w:lang w:val="en-IN"/>
        </w:rPr>
        <w:t>diverse representation in data</w:t>
      </w:r>
      <w:r w:rsidRPr="00747A2C">
        <w:rPr>
          <w:rFonts w:ascii="Arial" w:hAnsi="Arial" w:cs="Arial"/>
          <w:color w:val="000000" w:themeColor="text1"/>
          <w:lang w:val="en-IN"/>
        </w:rPr>
        <w:t xml:space="preserve"> are crucial.</w:t>
      </w:r>
    </w:p>
    <w:p w14:paraId="28FB2481" w14:textId="77777777" w:rsidR="00747A2C" w:rsidRPr="00747A2C" w:rsidRDefault="00747A2C" w:rsidP="00747A2C">
      <w:pPr>
        <w:numPr>
          <w:ilvl w:val="0"/>
          <w:numId w:val="13"/>
        </w:numPr>
        <w:rPr>
          <w:rFonts w:ascii="Arial" w:hAnsi="Arial" w:cs="Arial"/>
          <w:color w:val="000000" w:themeColor="text1"/>
          <w:lang w:val="en-IN"/>
        </w:rPr>
      </w:pPr>
      <w:r w:rsidRPr="00747A2C">
        <w:rPr>
          <w:rFonts w:ascii="Arial" w:hAnsi="Arial" w:cs="Arial"/>
          <w:b/>
          <w:bCs/>
          <w:color w:val="000000" w:themeColor="text1"/>
          <w:lang w:val="en-IN"/>
        </w:rPr>
        <w:lastRenderedPageBreak/>
        <w:t>Explainability:</w:t>
      </w:r>
      <w:r w:rsidRPr="00747A2C">
        <w:rPr>
          <w:rFonts w:ascii="Arial" w:hAnsi="Arial" w:cs="Arial"/>
          <w:color w:val="000000" w:themeColor="text1"/>
          <w:lang w:val="en-IN"/>
        </w:rPr>
        <w:t xml:space="preserve"> Explainability refers to how easily we can communicate </w:t>
      </w:r>
      <w:r w:rsidRPr="00747A2C">
        <w:rPr>
          <w:rFonts w:ascii="Arial" w:hAnsi="Arial" w:cs="Arial"/>
          <w:i/>
          <w:iCs/>
          <w:color w:val="000000" w:themeColor="text1"/>
          <w:lang w:val="en-IN"/>
        </w:rPr>
        <w:t>why</w:t>
      </w:r>
      <w:r w:rsidRPr="00747A2C">
        <w:rPr>
          <w:rFonts w:ascii="Arial" w:hAnsi="Arial" w:cs="Arial"/>
          <w:color w:val="000000" w:themeColor="text1"/>
          <w:lang w:val="en-IN"/>
        </w:rPr>
        <w:t xml:space="preserve"> the model makes its predictions. For a financial risk model, this is paramount for trust and accountability. Our model, based on quantifiable factors like 'Missed Payments', 'Recent Payment History', and 'Credit Score', offers a relatively high degree of explainability. When explaining predictions to non-technical stakeholders, we would emphasize the direct contribution of these factors: "The model flagged this customer as high-risk primarily because they have missed several payments recently and their credit score is below average, indicating a higher historical probability of delinquency among similar customers." This is much clearer than a "black box" model.</w:t>
      </w:r>
    </w:p>
    <w:p w14:paraId="45B439B6" w14:textId="77777777" w:rsidR="00747A2C" w:rsidRPr="00747A2C" w:rsidRDefault="00747A2C" w:rsidP="00747A2C">
      <w:pPr>
        <w:numPr>
          <w:ilvl w:val="0"/>
          <w:numId w:val="13"/>
        </w:numPr>
        <w:rPr>
          <w:rFonts w:ascii="Arial" w:hAnsi="Arial" w:cs="Arial"/>
          <w:color w:val="000000" w:themeColor="text1"/>
          <w:lang w:val="en-IN"/>
        </w:rPr>
      </w:pPr>
      <w:r w:rsidRPr="00747A2C">
        <w:rPr>
          <w:rFonts w:ascii="Arial" w:hAnsi="Arial" w:cs="Arial"/>
          <w:b/>
          <w:bCs/>
          <w:color w:val="000000" w:themeColor="text1"/>
          <w:lang w:val="en-IN"/>
        </w:rPr>
        <w:t>Whether the Recommendation Supports Responsible Financial Decision-Making:</w:t>
      </w:r>
      <w:r w:rsidRPr="00747A2C">
        <w:rPr>
          <w:rFonts w:ascii="Arial" w:hAnsi="Arial" w:cs="Arial"/>
          <w:color w:val="000000" w:themeColor="text1"/>
          <w:lang w:val="en-IN"/>
        </w:rPr>
        <w:t xml:space="preserve"> Our recommendation for a "Credit Empowerment Program" directly supports responsible financial decision-making. By identifying at-risk customers with low credit scores and a history of missed payments, and then offering them targeted financial counseling and flexible payment options, we are not simply penalizing them. Instead, we are providing tools and support to help them improve their financial health and fulfill their obligations. This proactive approach benefits both the customer by fostering better financial habits and the institution by reducing future loan losses.</w:t>
      </w:r>
    </w:p>
    <w:p w14:paraId="2E16D495" w14:textId="77777777" w:rsidR="00747A2C" w:rsidRPr="00747A2C" w:rsidRDefault="00747A2C" w:rsidP="00747A2C">
      <w:pPr>
        <w:numPr>
          <w:ilvl w:val="0"/>
          <w:numId w:val="13"/>
        </w:numPr>
        <w:rPr>
          <w:rFonts w:ascii="Arial" w:hAnsi="Arial" w:cs="Arial"/>
          <w:color w:val="000000" w:themeColor="text1"/>
          <w:lang w:val="en-IN"/>
        </w:rPr>
      </w:pPr>
      <w:r w:rsidRPr="00747A2C">
        <w:rPr>
          <w:rFonts w:ascii="Arial" w:hAnsi="Arial" w:cs="Arial"/>
          <w:b/>
          <w:bCs/>
          <w:color w:val="000000" w:themeColor="text1"/>
          <w:lang w:val="en-IN"/>
        </w:rPr>
        <w:t>Other Ethical Principles Considered:</w:t>
      </w:r>
    </w:p>
    <w:p w14:paraId="3CE62D53" w14:textId="77777777" w:rsidR="00747A2C" w:rsidRPr="00747A2C" w:rsidRDefault="00747A2C" w:rsidP="00747A2C">
      <w:pPr>
        <w:numPr>
          <w:ilvl w:val="1"/>
          <w:numId w:val="13"/>
        </w:numPr>
        <w:rPr>
          <w:rFonts w:ascii="Arial" w:hAnsi="Arial" w:cs="Arial"/>
          <w:color w:val="000000" w:themeColor="text1"/>
          <w:lang w:val="en-IN"/>
        </w:rPr>
      </w:pPr>
      <w:r w:rsidRPr="00747A2C">
        <w:rPr>
          <w:rFonts w:ascii="Arial" w:hAnsi="Arial" w:cs="Arial"/>
          <w:b/>
          <w:bCs/>
          <w:color w:val="000000" w:themeColor="text1"/>
          <w:lang w:val="en-IN"/>
        </w:rPr>
        <w:t>Transparency:</w:t>
      </w:r>
      <w:r w:rsidRPr="00747A2C">
        <w:rPr>
          <w:rFonts w:ascii="Arial" w:hAnsi="Arial" w:cs="Arial"/>
          <w:color w:val="000000" w:themeColor="text1"/>
          <w:lang w:val="en-IN"/>
        </w:rPr>
        <w:t xml:space="preserve"> Our approach emphasizes transparency by identifying key risk factors and striving for an explainable model. This allows for clearer communication regarding the basis of risk assessments.</w:t>
      </w:r>
    </w:p>
    <w:p w14:paraId="656590C8" w14:textId="77777777" w:rsidR="00747A2C" w:rsidRPr="00747A2C" w:rsidRDefault="00747A2C" w:rsidP="00747A2C">
      <w:pPr>
        <w:numPr>
          <w:ilvl w:val="1"/>
          <w:numId w:val="13"/>
        </w:numPr>
        <w:rPr>
          <w:rFonts w:ascii="Arial" w:hAnsi="Arial" w:cs="Arial"/>
          <w:color w:val="000000" w:themeColor="text1"/>
          <w:lang w:val="en-IN"/>
        </w:rPr>
      </w:pPr>
      <w:r w:rsidRPr="00747A2C">
        <w:rPr>
          <w:rFonts w:ascii="Arial" w:hAnsi="Arial" w:cs="Arial"/>
          <w:b/>
          <w:bCs/>
          <w:color w:val="000000" w:themeColor="text1"/>
          <w:lang w:val="en-IN"/>
        </w:rPr>
        <w:t>Accountability:</w:t>
      </w:r>
      <w:r w:rsidRPr="00747A2C">
        <w:rPr>
          <w:rFonts w:ascii="Arial" w:hAnsi="Arial" w:cs="Arial"/>
          <w:color w:val="000000" w:themeColor="text1"/>
          <w:lang w:val="en-IN"/>
        </w:rPr>
        <w:t xml:space="preserve"> Establishing clear metrics (like the 15% delinquency reduction goal) and human oversight in the Credit Empowerment Program ensures accountability for the model's impact and the program's effectiveness. Regular monitoring and audits will hold the model and its operators accountable for fair outcomes.</w:t>
      </w:r>
    </w:p>
    <w:p w14:paraId="04703B60" w14:textId="77777777" w:rsidR="00747A2C" w:rsidRPr="00747A2C" w:rsidRDefault="00747A2C" w:rsidP="00747A2C">
      <w:pPr>
        <w:numPr>
          <w:ilvl w:val="1"/>
          <w:numId w:val="13"/>
        </w:numPr>
        <w:rPr>
          <w:rFonts w:ascii="Arial" w:hAnsi="Arial" w:cs="Arial"/>
          <w:color w:val="000000" w:themeColor="text1"/>
          <w:lang w:val="en-IN"/>
        </w:rPr>
      </w:pPr>
      <w:r w:rsidRPr="00747A2C">
        <w:rPr>
          <w:rFonts w:ascii="Arial" w:hAnsi="Arial" w:cs="Arial"/>
          <w:b/>
          <w:bCs/>
          <w:color w:val="000000" w:themeColor="text1"/>
          <w:lang w:val="en-IN"/>
        </w:rPr>
        <w:t>Data Privacy:</w:t>
      </w:r>
      <w:r w:rsidRPr="00747A2C">
        <w:rPr>
          <w:rFonts w:ascii="Arial" w:hAnsi="Arial" w:cs="Arial"/>
          <w:color w:val="000000" w:themeColor="text1"/>
          <w:lang w:val="en-IN"/>
        </w:rPr>
        <w:t xml:space="preserve"> While not explicitly detailed in the current analysis due to the aggregated nature of the provided dataset, any real-world implementation would require strict adherence to data privacy regulations (e.g., GDPR, CCPA). This involves anonymizing sensitive customer data, limiting data access, and ensuring secure data storage to protect individual privacy while still enabling effective risk prediction.</w:t>
      </w:r>
    </w:p>
    <w:p w14:paraId="33EC1793" w14:textId="1E9B0ECE" w:rsidR="007D72C2" w:rsidRPr="00A537D1" w:rsidRDefault="007D72C2">
      <w:pPr>
        <w:rPr>
          <w:rFonts w:ascii="Arial" w:hAnsi="Arial" w:cs="Arial"/>
          <w:color w:val="000000" w:themeColor="text1"/>
        </w:rPr>
      </w:pPr>
    </w:p>
    <w:sectPr w:rsidR="007D72C2" w:rsidRPr="00A53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E6A7B2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2055EB"/>
    <w:multiLevelType w:val="multilevel"/>
    <w:tmpl w:val="9C026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0321E"/>
    <w:multiLevelType w:val="multilevel"/>
    <w:tmpl w:val="BB9A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2703F"/>
    <w:multiLevelType w:val="multilevel"/>
    <w:tmpl w:val="F73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22028"/>
    <w:multiLevelType w:val="multilevel"/>
    <w:tmpl w:val="8DC65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 w:numId="10" w16cid:durableId="717238937">
    <w:abstractNumId w:val="11"/>
  </w:num>
  <w:num w:numId="11" w16cid:durableId="1717925622">
    <w:abstractNumId w:val="12"/>
  </w:num>
  <w:num w:numId="12" w16cid:durableId="1172404802">
    <w:abstractNumId w:val="10"/>
  </w:num>
  <w:num w:numId="13" w16cid:durableId="419713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8DF"/>
    <w:rsid w:val="00747A2C"/>
    <w:rsid w:val="007D72C2"/>
    <w:rsid w:val="008237CA"/>
    <w:rsid w:val="00A537D1"/>
    <w:rsid w:val="00AA1D8D"/>
    <w:rsid w:val="00B47730"/>
    <w:rsid w:val="00CB0664"/>
    <w:rsid w:val="00DA5303"/>
    <w:rsid w:val="00E76F62"/>
    <w:rsid w:val="00F05A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865">
      <w:bodyDiv w:val="1"/>
      <w:marLeft w:val="0"/>
      <w:marRight w:val="0"/>
      <w:marTop w:val="0"/>
      <w:marBottom w:val="0"/>
      <w:divBdr>
        <w:top w:val="none" w:sz="0" w:space="0" w:color="auto"/>
        <w:left w:val="none" w:sz="0" w:space="0" w:color="auto"/>
        <w:bottom w:val="none" w:sz="0" w:space="0" w:color="auto"/>
        <w:right w:val="none" w:sz="0" w:space="0" w:color="auto"/>
      </w:divBdr>
    </w:div>
    <w:div w:id="54277815">
      <w:bodyDiv w:val="1"/>
      <w:marLeft w:val="0"/>
      <w:marRight w:val="0"/>
      <w:marTop w:val="0"/>
      <w:marBottom w:val="0"/>
      <w:divBdr>
        <w:top w:val="none" w:sz="0" w:space="0" w:color="auto"/>
        <w:left w:val="none" w:sz="0" w:space="0" w:color="auto"/>
        <w:bottom w:val="none" w:sz="0" w:space="0" w:color="auto"/>
        <w:right w:val="none" w:sz="0" w:space="0" w:color="auto"/>
      </w:divBdr>
    </w:div>
    <w:div w:id="349259300">
      <w:bodyDiv w:val="1"/>
      <w:marLeft w:val="0"/>
      <w:marRight w:val="0"/>
      <w:marTop w:val="0"/>
      <w:marBottom w:val="0"/>
      <w:divBdr>
        <w:top w:val="none" w:sz="0" w:space="0" w:color="auto"/>
        <w:left w:val="none" w:sz="0" w:space="0" w:color="auto"/>
        <w:bottom w:val="none" w:sz="0" w:space="0" w:color="auto"/>
        <w:right w:val="none" w:sz="0" w:space="0" w:color="auto"/>
      </w:divBdr>
    </w:div>
    <w:div w:id="459542416">
      <w:bodyDiv w:val="1"/>
      <w:marLeft w:val="0"/>
      <w:marRight w:val="0"/>
      <w:marTop w:val="0"/>
      <w:marBottom w:val="0"/>
      <w:divBdr>
        <w:top w:val="none" w:sz="0" w:space="0" w:color="auto"/>
        <w:left w:val="none" w:sz="0" w:space="0" w:color="auto"/>
        <w:bottom w:val="none" w:sz="0" w:space="0" w:color="auto"/>
        <w:right w:val="none" w:sz="0" w:space="0" w:color="auto"/>
      </w:divBdr>
    </w:div>
    <w:div w:id="465927095">
      <w:bodyDiv w:val="1"/>
      <w:marLeft w:val="0"/>
      <w:marRight w:val="0"/>
      <w:marTop w:val="0"/>
      <w:marBottom w:val="0"/>
      <w:divBdr>
        <w:top w:val="none" w:sz="0" w:space="0" w:color="auto"/>
        <w:left w:val="none" w:sz="0" w:space="0" w:color="auto"/>
        <w:bottom w:val="none" w:sz="0" w:space="0" w:color="auto"/>
        <w:right w:val="none" w:sz="0" w:space="0" w:color="auto"/>
      </w:divBdr>
    </w:div>
    <w:div w:id="858933561">
      <w:bodyDiv w:val="1"/>
      <w:marLeft w:val="0"/>
      <w:marRight w:val="0"/>
      <w:marTop w:val="0"/>
      <w:marBottom w:val="0"/>
      <w:divBdr>
        <w:top w:val="none" w:sz="0" w:space="0" w:color="auto"/>
        <w:left w:val="none" w:sz="0" w:space="0" w:color="auto"/>
        <w:bottom w:val="none" w:sz="0" w:space="0" w:color="auto"/>
        <w:right w:val="none" w:sz="0" w:space="0" w:color="auto"/>
      </w:divBdr>
    </w:div>
    <w:div w:id="1602299510">
      <w:bodyDiv w:val="1"/>
      <w:marLeft w:val="0"/>
      <w:marRight w:val="0"/>
      <w:marTop w:val="0"/>
      <w:marBottom w:val="0"/>
      <w:divBdr>
        <w:top w:val="none" w:sz="0" w:space="0" w:color="auto"/>
        <w:left w:val="none" w:sz="0" w:space="0" w:color="auto"/>
        <w:bottom w:val="none" w:sz="0" w:space="0" w:color="auto"/>
        <w:right w:val="none" w:sz="0" w:space="0" w:color="auto"/>
      </w:divBdr>
    </w:div>
    <w:div w:id="1647323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Bhavani Yadav</cp:lastModifiedBy>
  <cp:revision>6</cp:revision>
  <dcterms:created xsi:type="dcterms:W3CDTF">2013-12-23T23:15:00Z</dcterms:created>
  <dcterms:modified xsi:type="dcterms:W3CDTF">2025-06-01T17:12:00Z</dcterms:modified>
  <cp:category/>
</cp:coreProperties>
</file>