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23" w:rsidRPr="003F2823" w:rsidRDefault="003F2823" w:rsidP="003F2823">
      <w:pPr>
        <w:pStyle w:val="Heading1"/>
        <w:shd w:val="clear" w:color="auto" w:fill="F3F3F3"/>
        <w:spacing w:before="0" w:after="150"/>
        <w:rPr>
          <w:rFonts w:ascii="Arial" w:hAnsi="Arial" w:cs="Arial"/>
          <w:color w:val="00B050"/>
          <w:sz w:val="36"/>
          <w:szCs w:val="36"/>
        </w:rPr>
      </w:pPr>
      <w:r w:rsidRPr="003F2823">
        <w:rPr>
          <w:rFonts w:ascii="Arial" w:hAnsi="Arial" w:cs="Arial"/>
          <w:color w:val="00B050"/>
          <w:sz w:val="36"/>
          <w:szCs w:val="36"/>
        </w:rPr>
        <w:t>Expected Loss, Unexpected Loss, and Loss Distribution</w:t>
      </w:r>
    </w:p>
    <w:p w:rsidR="00A81D63" w:rsidRPr="00A81D63" w:rsidRDefault="00A81D63" w:rsidP="00A81D63">
      <w:pPr>
        <w:spacing w:after="450" w:line="459" w:lineRule="atLeast"/>
        <w:rPr>
          <w:rFonts w:ascii="Arial" w:eastAsia="Times New Roman" w:hAnsi="Arial" w:cs="Arial"/>
          <w:color w:val="00B050"/>
        </w:rPr>
      </w:pPr>
      <w:r w:rsidRPr="00A81D63">
        <w:rPr>
          <w:rFonts w:ascii="Arial" w:eastAsia="Times New Roman" w:hAnsi="Arial" w:cs="Arial"/>
          <w:color w:val="00B050"/>
        </w:rPr>
        <w:t>While the terms expected loss and unexpected loss are commonly used in risk management, it is important to have a clear understanding of what they actually mean.</w:t>
      </w:r>
    </w:p>
    <w:p w:rsidR="00A81D63" w:rsidRPr="00A81D63" w:rsidRDefault="00A81D63" w:rsidP="00A81D63">
      <w:pPr>
        <w:spacing w:after="450" w:line="459" w:lineRule="atLeast"/>
        <w:rPr>
          <w:rFonts w:ascii="Arial" w:eastAsia="Times New Roman" w:hAnsi="Arial" w:cs="Arial"/>
          <w:color w:val="00B050"/>
        </w:rPr>
      </w:pPr>
      <w:r w:rsidRPr="00A81D63">
        <w:rPr>
          <w:rFonts w:ascii="Arial" w:eastAsia="Times New Roman" w:hAnsi="Arial" w:cs="Arial"/>
          <w:color w:val="00B050"/>
        </w:rPr>
        <w:t>In general, expected loss as the name suggests is the expected loss from a loan exposure. On the other hand unexpected loss is the loss that exceeds the expectations.</w:t>
      </w:r>
    </w:p>
    <w:p w:rsidR="00A81D63" w:rsidRPr="00500833" w:rsidRDefault="00A81D63" w:rsidP="00A81D63">
      <w:pPr>
        <w:spacing w:after="450" w:line="459" w:lineRule="atLeast"/>
        <w:rPr>
          <w:rFonts w:ascii="Arial" w:eastAsia="Times New Roman" w:hAnsi="Arial" w:cs="Arial"/>
          <w:color w:val="00B050"/>
        </w:rPr>
      </w:pPr>
      <w:r w:rsidRPr="00500833">
        <w:rPr>
          <w:rFonts w:ascii="Arial" w:eastAsia="Times New Roman" w:hAnsi="Arial" w:cs="Arial"/>
          <w:b/>
          <w:bCs/>
          <w:color w:val="00B050"/>
        </w:rPr>
        <w:t>Expected Loss</w:t>
      </w:r>
      <w:r w:rsidRPr="00A81D63">
        <w:rPr>
          <w:rFonts w:ascii="Arial" w:eastAsia="Times New Roman" w:hAnsi="Arial" w:cs="Arial"/>
          <w:color w:val="00B050"/>
        </w:rPr>
        <w:br/>
        <w:t>In statistical terms, the expected loss is the average credit loss that we would expect from an exposure or a portfolio over a given period of time.</w:t>
      </w:r>
    </w:p>
    <w:p w:rsidR="005733A1" w:rsidRPr="005733A1" w:rsidRDefault="005733A1" w:rsidP="005733A1">
      <w:pPr>
        <w:spacing w:after="450" w:line="459" w:lineRule="atLeast"/>
        <w:rPr>
          <w:rFonts w:ascii="Arial" w:eastAsia="Times New Roman" w:hAnsi="Arial" w:cs="Arial"/>
          <w:color w:val="00B050"/>
        </w:rPr>
      </w:pPr>
      <w:r w:rsidRPr="00500833">
        <w:rPr>
          <w:rFonts w:ascii="Arial" w:eastAsia="Times New Roman" w:hAnsi="Arial" w:cs="Arial"/>
          <w:b/>
          <w:bCs/>
          <w:color w:val="00B050"/>
        </w:rPr>
        <w:t>Portfolio Expected Loss:</w:t>
      </w:r>
      <w:r w:rsidRPr="005733A1">
        <w:rPr>
          <w:rFonts w:ascii="Arial" w:eastAsia="Times New Roman" w:hAnsi="Arial" w:cs="Arial"/>
          <w:color w:val="00B050"/>
        </w:rPr>
        <w:t> The total expected loss of a portfolio will simply be the summation of expected losses of individual assets. This is because the mean of the sum is the same as the sum of the mean.</w: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Since the expected loss is what a business expects to lose in a year, the business will generally have budget for it and the losses can be borne as a part of the normal operating cash flows.</w:t>
      </w:r>
    </w:p>
    <w:p w:rsidR="005733A1" w:rsidRPr="005733A1" w:rsidRDefault="005733A1" w:rsidP="005733A1">
      <w:pPr>
        <w:spacing w:after="450" w:line="459" w:lineRule="atLeast"/>
        <w:rPr>
          <w:rFonts w:ascii="Arial" w:eastAsia="Times New Roman" w:hAnsi="Arial" w:cs="Arial"/>
          <w:color w:val="00B050"/>
        </w:rPr>
      </w:pPr>
      <w:r w:rsidRPr="00500833">
        <w:rPr>
          <w:rFonts w:ascii="Arial" w:eastAsia="Times New Roman" w:hAnsi="Arial" w:cs="Arial"/>
          <w:b/>
          <w:bCs/>
          <w:color w:val="00B050"/>
        </w:rPr>
        <w:t>Unexpected Loss</w:t>
      </w:r>
      <w:r w:rsidRPr="005733A1">
        <w:rPr>
          <w:rFonts w:ascii="Arial" w:eastAsia="Times New Roman" w:hAnsi="Arial" w:cs="Arial"/>
          <w:color w:val="00B050"/>
        </w:rPr>
        <w:br/>
        <w:t xml:space="preserve">The unexpected loss is the average total loss over and above the mean loss. It is calculated as a standard deviation from the mean at a certain confidence level at a certain confidence level. It is also referred to as Credit </w:t>
      </w:r>
      <w:proofErr w:type="spellStart"/>
      <w:r w:rsidRPr="005733A1">
        <w:rPr>
          <w:rFonts w:ascii="Arial" w:eastAsia="Times New Roman" w:hAnsi="Arial" w:cs="Arial"/>
          <w:color w:val="00B050"/>
        </w:rPr>
        <w:t>VaR.</w:t>
      </w:r>
      <w:proofErr w:type="spellEnd"/>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A business will safeguard itself from unexpected losses by allocating capital.</w: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lastRenderedPageBreak/>
        <w:t>Unlike expected loss, the expected loss of a portfolio is not calculated by adding the unexpected loss of individual assets. This is because unless there is perfect correlation, the standard deviation of sum will not be the same as the sum of standard deviation.</w: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The unexpected loss of a portfolio at a 99% confidence level will be expressed as follows:</w:t>
      </w:r>
    </w:p>
    <w:p w:rsidR="005733A1" w:rsidRPr="005733A1" w:rsidRDefault="005733A1" w:rsidP="005733A1">
      <w:pPr>
        <w:spacing w:after="0" w:line="240" w:lineRule="auto"/>
        <w:rPr>
          <w:rFonts w:ascii="Arial" w:eastAsia="Times New Roman" w:hAnsi="Arial" w:cs="Arial"/>
          <w:color w:val="00B050"/>
        </w:rPr>
      </w:pPr>
      <w:r w:rsidRPr="005733A1">
        <w:rPr>
          <w:rFonts w:ascii="Arial" w:eastAsia="Times New Roman" w:hAnsi="Arial" w:cs="Arial"/>
          <w:color w:val="00B050"/>
        </w:rPr>
        <w:t>UL99% = D99% – EL</w:t>
      </w:r>
    </w:p>
    <w:p w:rsidR="005733A1" w:rsidRPr="005733A1" w:rsidRDefault="005733A1" w:rsidP="005733A1">
      <w:pPr>
        <w:spacing w:after="450" w:line="459" w:lineRule="atLeast"/>
        <w:rPr>
          <w:rFonts w:ascii="Arial" w:eastAsia="Times New Roman" w:hAnsi="Arial" w:cs="Arial"/>
          <w:color w:val="00B050"/>
        </w:rPr>
      </w:pPr>
      <w:proofErr w:type="gramStart"/>
      <w:r w:rsidRPr="005733A1">
        <w:rPr>
          <w:rFonts w:ascii="Arial" w:eastAsia="Times New Roman" w:hAnsi="Arial" w:cs="Arial"/>
          <w:color w:val="00B050"/>
        </w:rPr>
        <w:t>Where D</w:t>
      </w:r>
      <w:r w:rsidRPr="005733A1">
        <w:rPr>
          <w:rFonts w:ascii="Arial" w:eastAsia="Times New Roman" w:hAnsi="Arial" w:cs="Arial"/>
          <w:color w:val="00B050"/>
          <w:vertAlign w:val="subscript"/>
        </w:rPr>
        <w:t>99%</w:t>
      </w:r>
      <w:r w:rsidRPr="005733A1">
        <w:rPr>
          <w:rFonts w:ascii="Arial" w:eastAsia="Times New Roman" w:hAnsi="Arial" w:cs="Arial"/>
          <w:color w:val="00B050"/>
        </w:rPr>
        <w:t xml:space="preserve"> represents the 99% </w:t>
      </w:r>
      <w:proofErr w:type="spellStart"/>
      <w:r w:rsidRPr="005733A1">
        <w:rPr>
          <w:rFonts w:ascii="Arial" w:eastAsia="Times New Roman" w:hAnsi="Arial" w:cs="Arial"/>
          <w:color w:val="00B050"/>
        </w:rPr>
        <w:t>Var</w:t>
      </w:r>
      <w:proofErr w:type="spellEnd"/>
      <w:r w:rsidRPr="005733A1">
        <w:rPr>
          <w:rFonts w:ascii="Arial" w:eastAsia="Times New Roman" w:hAnsi="Arial" w:cs="Arial"/>
          <w:color w:val="00B050"/>
        </w:rPr>
        <w:t xml:space="preserve"> </w:t>
      </w:r>
      <w:proofErr w:type="spellStart"/>
      <w:r w:rsidRPr="005733A1">
        <w:rPr>
          <w:rFonts w:ascii="Arial" w:eastAsia="Times New Roman" w:hAnsi="Arial" w:cs="Arial"/>
          <w:color w:val="00B050"/>
        </w:rPr>
        <w:t>Quantile</w:t>
      </w:r>
      <w:proofErr w:type="spellEnd"/>
      <w:r w:rsidRPr="005733A1">
        <w:rPr>
          <w:rFonts w:ascii="Arial" w:eastAsia="Times New Roman" w:hAnsi="Arial" w:cs="Arial"/>
          <w:color w:val="00B050"/>
        </w:rPr>
        <w:t>.</w:t>
      </w:r>
      <w:proofErr w:type="gramEnd"/>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 xml:space="preserve">If the 99% </w:t>
      </w:r>
      <w:proofErr w:type="spellStart"/>
      <w:r w:rsidRPr="005733A1">
        <w:rPr>
          <w:rFonts w:ascii="Arial" w:eastAsia="Times New Roman" w:hAnsi="Arial" w:cs="Arial"/>
          <w:color w:val="00B050"/>
        </w:rPr>
        <w:t>VaR</w:t>
      </w:r>
      <w:proofErr w:type="spellEnd"/>
      <w:r w:rsidRPr="005733A1">
        <w:rPr>
          <w:rFonts w:ascii="Arial" w:eastAsia="Times New Roman" w:hAnsi="Arial" w:cs="Arial"/>
          <w:color w:val="00B050"/>
        </w:rPr>
        <w:t xml:space="preserve"> level is $200m and the expected portfolio loss is $50, then the unexpected loss will be $150m.</w: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The unexpected loss of a portfolio will be expressed as follows:</w:t>
      </w:r>
    </w:p>
    <w:p w:rsidR="005733A1" w:rsidRPr="005733A1" w:rsidRDefault="005733A1" w:rsidP="005733A1">
      <w:pPr>
        <w:spacing w:after="0" w:line="240" w:lineRule="auto"/>
        <w:rPr>
          <w:rFonts w:ascii="Arial" w:eastAsia="Times New Roman" w:hAnsi="Arial" w:cs="Arial"/>
          <w:color w:val="00B050"/>
        </w:rPr>
      </w:pPr>
      <w:r w:rsidRPr="00500833">
        <w:rPr>
          <w:rFonts w:ascii="Arial" w:eastAsia="Times New Roman" w:hAnsi="Arial" w:cs="Arial"/>
          <w:noProof/>
          <w:color w:val="00B050"/>
        </w:rPr>
        <w:drawing>
          <wp:inline distT="0" distB="0" distL="0" distR="0" wp14:anchorId="620E5786" wp14:editId="5B408E63">
            <wp:extent cx="1800225" cy="180975"/>
            <wp:effectExtent l="0" t="0" r="9525" b="9525"/>
            <wp:docPr id="3" name="Picture 3" descr="UL (Portfolio) = \sum UL_i \rho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 (Portfolio) = \sum UL_i \rho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80975"/>
                    </a:xfrm>
                    <a:prstGeom prst="rect">
                      <a:avLst/>
                    </a:prstGeom>
                    <a:noFill/>
                    <a:ln>
                      <a:noFill/>
                    </a:ln>
                  </pic:spPr>
                </pic:pic>
              </a:graphicData>
            </a:graphic>
          </wp:inline>
        </w:drawing>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Apart from the expected and unexpected losses, there are also catastrophic losses, which are covered by insurance.</w:t>
      </w:r>
    </w:p>
    <w:p w:rsidR="005733A1" w:rsidRPr="005733A1" w:rsidRDefault="005733A1" w:rsidP="005733A1">
      <w:pPr>
        <w:spacing w:after="450" w:line="459" w:lineRule="atLeast"/>
        <w:rPr>
          <w:rFonts w:ascii="Arial" w:eastAsia="Times New Roman" w:hAnsi="Arial" w:cs="Arial"/>
          <w:color w:val="00B050"/>
        </w:rPr>
      </w:pPr>
      <w:r w:rsidRPr="00500833">
        <w:rPr>
          <w:rFonts w:ascii="Arial" w:eastAsia="Times New Roman" w:hAnsi="Arial" w:cs="Arial"/>
          <w:b/>
          <w:bCs/>
          <w:color w:val="00B050"/>
        </w:rPr>
        <w:t>The Credit Loss Distribution</w:t>
      </w:r>
      <w:r w:rsidRPr="005733A1">
        <w:rPr>
          <w:rFonts w:ascii="Arial" w:eastAsia="Times New Roman" w:hAnsi="Arial" w:cs="Arial"/>
          <w:b/>
          <w:bCs/>
          <w:color w:val="00B050"/>
        </w:rPr>
        <w:br/>
      </w:r>
      <w:r w:rsidRPr="005733A1">
        <w:rPr>
          <w:rFonts w:ascii="Arial" w:eastAsia="Times New Roman" w:hAnsi="Arial" w:cs="Arial"/>
          <w:color w:val="00B050"/>
        </w:rPr>
        <w:br/>
        <w:t>The following diagram shows the credit loss distribution.</w: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 </w:t>
      </w:r>
    </w:p>
    <w:p w:rsidR="005733A1" w:rsidRPr="005733A1" w:rsidRDefault="005733A1" w:rsidP="005733A1">
      <w:pPr>
        <w:spacing w:after="450" w:line="459" w:lineRule="atLeast"/>
        <w:rPr>
          <w:rFonts w:ascii="Arial" w:eastAsia="Times New Roman" w:hAnsi="Arial" w:cs="Arial"/>
          <w:color w:val="00B050"/>
        </w:rPr>
      </w:pPr>
      <w:r w:rsidRPr="00500833">
        <w:rPr>
          <w:rFonts w:ascii="Arial" w:eastAsia="Times New Roman" w:hAnsi="Arial" w:cs="Arial"/>
          <w:noProof/>
          <w:color w:val="00B050"/>
        </w:rPr>
        <w:lastRenderedPageBreak/>
        <mc:AlternateContent>
          <mc:Choice Requires="wps">
            <w:drawing>
              <wp:inline distT="0" distB="0" distL="0" distR="0" wp14:anchorId="22272833" wp14:editId="533DE493">
                <wp:extent cx="3810000" cy="2895600"/>
                <wp:effectExtent l="0" t="0" r="0" b="0"/>
                <wp:docPr id="2" name="Rectangle 2" descr="https://cdn.shortpixel.ai/client/q_glossy,ret_img,w_400,h_304/https:/financetrain.dxpsites.net/wp-content/uploads/2011/05/loss_disl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cdn.shortpixel.ai/client/q_glossy,ret_img,w_400,h_304/https:/financetrain.dxpsites.net/wp-content/uploads/2011/05/loss_dislt.gif" style="width:300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T6GgMAAEoGAAAOAAAAZHJzL2Uyb0RvYy54bWysVU1v4zYQvRfY/0DwHFkfkR3LiBJk7bgo&#10;kG2DZvds0CQlEaVILklHTov97x1StuNkL4t2dRDIIfVm5s2b0fXtvpfomVsntKpxPskw4opqJlRb&#10;4y+f18kcI+eJYkRqxWv8wh2+vfnwy/VgFrzQnZaMWwQgyi0GU+POe7NIU0c73hM30YYrOGy07YmH&#10;rW1TZskA6L1MiyybpYO2zFhNuXNgXY2H+CbiNw2n/o+mcdwjWWOIzce3je9teKc312TRWmI6QQ9h&#10;kP8QRU+EAqcnqBXxBO2s+A6qF9Rqpxs/obpPddMIymMOkE2evcvmqSOGx1yAHGdONLmfB0t/f360&#10;SLAaFxgp0kOJ/gTSiGolR2Bi3FGgK5TFQV0oUxPXaeuN2HM5ISKlUnDl06+bVmrnXi4s9xvRtxfD&#10;psyyi25zmZXp4etGKKIo9xbImrC9ccJzN1Hcp4NJqFY+AO2M1IS5QEeeZtM0oG6YcNJPWtGEeg0Q&#10;CYT9ZB5tYNyZB03/ckjpZQdh8ztnIAHQIuRzNFmrh44DbDADBDg8wwgbB2hoO3zSDBggO69jNfeN&#10;7YMPqBPaR9G8nETD9x5RMF7O8wwejCicFfNqOoNN8EEWx8+Ndf5XrnsUFjW2EF+EJ88Pzo9Xj1eC&#10;N6XXQkqwk4VUbwyAOVrAOXwazkIYUWj/VFl1P7+fl0lZzO6TMlutkrv1skxm6/xqurpcLZer/Fvw&#10;m5eLTjDGVXBzFH1e/pioDu03yvUke6elYAEuhORsu11Ki54JNN06PgdCzq6lb8OIfEEu71LKizL7&#10;WFTJeja/Ssp1OU2qq2yeZHn1sZplZVWu1m9TehCK//+U0FDjalpMY5XOgn6XW6j7qdhvrvUgbYuk&#10;6Gs8P10ii6DBe8ViaT0RclyfURHCf6UCyn0sdFRsEOmo/61mLyBYq0FOID0YwLCAvvwbowGGWY3d&#10;1x2xHCP5mwLRV3lZhukXN+X0qoCNPT/Znp9AkwJUjT1G43Lpx4m5M1a0HXjKIzFK30GjNCJKODTR&#10;GNWhvWBgxUwOwzVMxPN9vPX6C7j5FwAA//8DAFBLAwQUAAYACAAAACEAScKrPdwAAAAFAQAADwAA&#10;AGRycy9kb3ducmV2LnhtbEyPQUvDQBCF74L/YRmhF7G7lhokZlOkIJYiFFPteZsdk2B2Ns1uk/jv&#10;Hb3o5cHjDe99k60m14oB+9B40nA7VyCQSm8bqjS87Z9u7kGEaMia1hNq+MIAq/zyIjOp9SO94lDE&#10;SnAJhdRoqGPsUilDWaMzYe47JM4+fO9MZNtX0vZm5HLXyoVSiXSmIV6oTYfrGsvP4uw0jOVuOOxf&#10;nuXu+rDxdNqc1sX7VuvZ1fT4ACLiFP+O4Qef0SFnpqM/kw2i1cCPxF/lLFGK7VHD8i5RIPNM/qfP&#10;vwEAAP//AwBQSwECLQAUAAYACAAAACEAtoM4kv4AAADhAQAAEwAAAAAAAAAAAAAAAAAAAAAAW0Nv&#10;bnRlbnRfVHlwZXNdLnhtbFBLAQItABQABgAIAAAAIQA4/SH/1gAAAJQBAAALAAAAAAAAAAAAAAAA&#10;AC8BAABfcmVscy8ucmVsc1BLAQItABQABgAIAAAAIQCFgFT6GgMAAEoGAAAOAAAAAAAAAAAAAAAA&#10;AC4CAABkcnMvZTJvRG9jLnhtbFBLAQItABQABgAIAAAAIQBJwqs93AAAAAUBAAAPAAAAAAAAAAAA&#10;AAAAAHQFAABkcnMvZG93bnJldi54bWxQSwUGAAAAAAQABADzAAAAfQYAAAAA&#10;" filled="f" stroked="f">
                <o:lock v:ext="edit" aspectratio="t"/>
                <w10:anchorlock/>
              </v:rect>
            </w:pict>
          </mc:Fallback>
        </mc:AlternateConten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 </w:t>
      </w:r>
    </w:p>
    <w:p w:rsidR="005733A1" w:rsidRPr="005733A1" w:rsidRDefault="005733A1" w:rsidP="005733A1">
      <w:pPr>
        <w:spacing w:after="450" w:line="459" w:lineRule="atLeast"/>
        <w:rPr>
          <w:rFonts w:ascii="Arial" w:eastAsia="Times New Roman" w:hAnsi="Arial" w:cs="Arial"/>
          <w:color w:val="00B050"/>
        </w:rPr>
      </w:pPr>
      <w:r w:rsidRPr="00500833">
        <w:rPr>
          <w:rFonts w:ascii="Arial" w:eastAsia="Times New Roman" w:hAnsi="Arial" w:cs="Arial"/>
          <w:b/>
          <w:bCs/>
          <w:color w:val="00B050"/>
        </w:rPr>
        <w:t>Characteristics of Credit Loss Distribution</w:t>
      </w:r>
    </w:p>
    <w:p w:rsidR="005733A1" w:rsidRPr="005733A1" w:rsidRDefault="005733A1" w:rsidP="005733A1">
      <w:pPr>
        <w:spacing w:after="450" w:line="459" w:lineRule="atLeast"/>
        <w:rPr>
          <w:rFonts w:ascii="Arial" w:eastAsia="Times New Roman" w:hAnsi="Arial" w:cs="Arial"/>
          <w:color w:val="00B050"/>
        </w:rPr>
      </w:pPr>
      <w:r w:rsidRPr="005733A1">
        <w:rPr>
          <w:rFonts w:ascii="Arial" w:eastAsia="Times New Roman" w:hAnsi="Arial" w:cs="Arial"/>
          <w:color w:val="00B050"/>
        </w:rPr>
        <w:t>The credit losses distribution has three key characteristics:</w:t>
      </w:r>
    </w:p>
    <w:p w:rsidR="005733A1" w:rsidRPr="005733A1" w:rsidRDefault="005733A1" w:rsidP="005733A1">
      <w:pPr>
        <w:numPr>
          <w:ilvl w:val="0"/>
          <w:numId w:val="12"/>
        </w:numPr>
        <w:spacing w:before="100" w:beforeAutospacing="1" w:after="100" w:afterAutospacing="1" w:line="240" w:lineRule="auto"/>
        <w:ind w:left="0"/>
        <w:rPr>
          <w:rFonts w:ascii="Arial" w:eastAsia="Times New Roman" w:hAnsi="Arial" w:cs="Arial"/>
          <w:color w:val="00B050"/>
        </w:rPr>
      </w:pPr>
      <w:r w:rsidRPr="005733A1">
        <w:rPr>
          <w:rFonts w:ascii="Arial" w:eastAsia="Times New Roman" w:hAnsi="Arial" w:cs="Arial"/>
          <w:color w:val="00B050"/>
        </w:rPr>
        <w:t>It is not symmetrical. There is a limited upside because the best scenario is when there is no loss. However, there is extremely large downside, that is, the losses can be huge.</w:t>
      </w:r>
    </w:p>
    <w:p w:rsidR="005733A1" w:rsidRPr="005733A1" w:rsidRDefault="005733A1" w:rsidP="005733A1">
      <w:pPr>
        <w:numPr>
          <w:ilvl w:val="0"/>
          <w:numId w:val="12"/>
        </w:numPr>
        <w:spacing w:before="100" w:beforeAutospacing="1" w:after="100" w:afterAutospacing="1" w:line="240" w:lineRule="auto"/>
        <w:ind w:left="0"/>
        <w:rPr>
          <w:rFonts w:ascii="Arial" w:eastAsia="Times New Roman" w:hAnsi="Arial" w:cs="Arial"/>
          <w:color w:val="00B050"/>
        </w:rPr>
      </w:pPr>
      <w:r w:rsidRPr="005733A1">
        <w:rPr>
          <w:rFonts w:ascii="Arial" w:eastAsia="Times New Roman" w:hAnsi="Arial" w:cs="Arial"/>
          <w:color w:val="00B050"/>
        </w:rPr>
        <w:t>It is highly skewed. The distribution is more concentrated toward small losses, with very few chances of large losses.</w:t>
      </w:r>
    </w:p>
    <w:p w:rsidR="005733A1" w:rsidRDefault="005733A1" w:rsidP="005733A1">
      <w:pPr>
        <w:numPr>
          <w:ilvl w:val="0"/>
          <w:numId w:val="12"/>
        </w:numPr>
        <w:spacing w:before="100" w:beforeAutospacing="1" w:after="100" w:afterAutospacing="1" w:line="240" w:lineRule="auto"/>
        <w:ind w:left="0"/>
        <w:rPr>
          <w:rFonts w:ascii="Arial" w:eastAsia="Times New Roman" w:hAnsi="Arial" w:cs="Arial"/>
          <w:color w:val="00B050"/>
        </w:rPr>
      </w:pPr>
      <w:r w:rsidRPr="005733A1">
        <w:rPr>
          <w:rFonts w:ascii="Arial" w:eastAsia="Times New Roman" w:hAnsi="Arial" w:cs="Arial"/>
          <w:color w:val="00B050"/>
        </w:rPr>
        <w:t>The distribution has heavy tail, i.e., the probability of large losses reduces very slowly.</w:t>
      </w:r>
    </w:p>
    <w:p w:rsidR="00953230" w:rsidRDefault="00953230" w:rsidP="00953230">
      <w:pPr>
        <w:spacing w:before="100" w:beforeAutospacing="1" w:after="100" w:afterAutospacing="1" w:line="240" w:lineRule="auto"/>
        <w:rPr>
          <w:rFonts w:ascii="Arial" w:eastAsia="Times New Roman" w:hAnsi="Arial" w:cs="Arial"/>
          <w:color w:val="00B050"/>
        </w:rPr>
      </w:pPr>
    </w:p>
    <w:p w:rsidR="00953230" w:rsidRPr="005733A1" w:rsidRDefault="00953230" w:rsidP="00953230">
      <w:pPr>
        <w:spacing w:before="100" w:beforeAutospacing="1" w:after="100" w:afterAutospacing="1" w:line="240" w:lineRule="auto"/>
        <w:rPr>
          <w:rFonts w:ascii="Arial" w:eastAsia="Times New Roman" w:hAnsi="Arial" w:cs="Arial"/>
          <w:color w:val="00B050"/>
        </w:rPr>
      </w:pPr>
      <w:r>
        <w:rPr>
          <w:rFonts w:ascii="Arial" w:eastAsia="Times New Roman" w:hAnsi="Arial" w:cs="Arial"/>
          <w:color w:val="00B050"/>
        </w:rPr>
        <w:t xml:space="preserve">REF: </w:t>
      </w:r>
      <w:r w:rsidRPr="00953230">
        <w:rPr>
          <w:rFonts w:ascii="Arial" w:eastAsia="Times New Roman" w:hAnsi="Arial" w:cs="Arial"/>
          <w:color w:val="00B050"/>
        </w:rPr>
        <w:t>https://financetrain.com/expected-loss-unexpected-loss-and-loss-distribution/</w:t>
      </w:r>
      <w:bookmarkStart w:id="0" w:name="_GoBack"/>
      <w:bookmarkEnd w:id="0"/>
    </w:p>
    <w:p w:rsidR="005733A1" w:rsidRPr="00A81D63" w:rsidRDefault="005733A1" w:rsidP="00A81D63">
      <w:pPr>
        <w:spacing w:after="450" w:line="459" w:lineRule="atLeast"/>
        <w:rPr>
          <w:rFonts w:ascii="Arial" w:eastAsia="Times New Roman" w:hAnsi="Arial" w:cs="Arial"/>
          <w:color w:val="00B050"/>
        </w:rPr>
      </w:pPr>
    </w:p>
    <w:p w:rsidR="002E49A3" w:rsidRPr="00500833" w:rsidRDefault="002E49A3" w:rsidP="00A81D63">
      <w:pPr>
        <w:rPr>
          <w:color w:val="00B050"/>
          <w:shd w:val="clear" w:color="auto" w:fill="F4F5F7"/>
        </w:rPr>
      </w:pPr>
    </w:p>
    <w:sectPr w:rsidR="002E49A3" w:rsidRPr="00500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24F" w:rsidRDefault="00E2724F" w:rsidP="00921855">
      <w:pPr>
        <w:spacing w:after="0" w:line="240" w:lineRule="auto"/>
      </w:pPr>
      <w:r>
        <w:separator/>
      </w:r>
    </w:p>
  </w:endnote>
  <w:endnote w:type="continuationSeparator" w:id="0">
    <w:p w:rsidR="00E2724F" w:rsidRDefault="00E2724F" w:rsidP="0092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24F" w:rsidRDefault="00E2724F" w:rsidP="00921855">
      <w:pPr>
        <w:spacing w:after="0" w:line="240" w:lineRule="auto"/>
      </w:pPr>
      <w:r>
        <w:separator/>
      </w:r>
    </w:p>
  </w:footnote>
  <w:footnote w:type="continuationSeparator" w:id="0">
    <w:p w:rsidR="00E2724F" w:rsidRDefault="00E2724F" w:rsidP="00921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3290"/>
    <w:multiLevelType w:val="hybridMultilevel"/>
    <w:tmpl w:val="FE0A9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F7F53"/>
    <w:multiLevelType w:val="hybridMultilevel"/>
    <w:tmpl w:val="BE12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E5471"/>
    <w:multiLevelType w:val="hybridMultilevel"/>
    <w:tmpl w:val="D1AA19DA"/>
    <w:lvl w:ilvl="0" w:tplc="C2F25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E2CAB"/>
    <w:multiLevelType w:val="hybridMultilevel"/>
    <w:tmpl w:val="B804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479AD"/>
    <w:multiLevelType w:val="multilevel"/>
    <w:tmpl w:val="7A1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F97064"/>
    <w:multiLevelType w:val="hybridMultilevel"/>
    <w:tmpl w:val="E8AE0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873DF"/>
    <w:multiLevelType w:val="multilevel"/>
    <w:tmpl w:val="1F1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3F51E5"/>
    <w:multiLevelType w:val="hybridMultilevel"/>
    <w:tmpl w:val="E62E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5362A"/>
    <w:multiLevelType w:val="hybridMultilevel"/>
    <w:tmpl w:val="1FB27070"/>
    <w:lvl w:ilvl="0" w:tplc="BDAE4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04AED"/>
    <w:multiLevelType w:val="hybridMultilevel"/>
    <w:tmpl w:val="17BE5B06"/>
    <w:lvl w:ilvl="0" w:tplc="C4801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538AB"/>
    <w:multiLevelType w:val="multilevel"/>
    <w:tmpl w:val="5698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A20997"/>
    <w:multiLevelType w:val="multilevel"/>
    <w:tmpl w:val="425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6"/>
  </w:num>
  <w:num w:numId="4">
    <w:abstractNumId w:val="7"/>
  </w:num>
  <w:num w:numId="5">
    <w:abstractNumId w:val="5"/>
  </w:num>
  <w:num w:numId="6">
    <w:abstractNumId w:val="2"/>
  </w:num>
  <w:num w:numId="7">
    <w:abstractNumId w:val="3"/>
  </w:num>
  <w:num w:numId="8">
    <w:abstractNumId w:val="0"/>
  </w:num>
  <w:num w:numId="9">
    <w:abstractNumId w:val="9"/>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95B"/>
    <w:rsid w:val="00051023"/>
    <w:rsid w:val="00066ACB"/>
    <w:rsid w:val="00082CA0"/>
    <w:rsid w:val="00087212"/>
    <w:rsid w:val="00091533"/>
    <w:rsid w:val="000A1B37"/>
    <w:rsid w:val="000D4968"/>
    <w:rsid w:val="000E48D4"/>
    <w:rsid w:val="000E60BB"/>
    <w:rsid w:val="001022F0"/>
    <w:rsid w:val="00115DC5"/>
    <w:rsid w:val="0013552F"/>
    <w:rsid w:val="0014231A"/>
    <w:rsid w:val="00142C23"/>
    <w:rsid w:val="0015199B"/>
    <w:rsid w:val="0015639B"/>
    <w:rsid w:val="00177CAF"/>
    <w:rsid w:val="001904F8"/>
    <w:rsid w:val="001A160E"/>
    <w:rsid w:val="001A1A7F"/>
    <w:rsid w:val="001D3533"/>
    <w:rsid w:val="001D41AB"/>
    <w:rsid w:val="001D58D9"/>
    <w:rsid w:val="001E3A3A"/>
    <w:rsid w:val="001E55D5"/>
    <w:rsid w:val="001F7BC4"/>
    <w:rsid w:val="002111D3"/>
    <w:rsid w:val="00233005"/>
    <w:rsid w:val="002356CD"/>
    <w:rsid w:val="002401CA"/>
    <w:rsid w:val="00245F7C"/>
    <w:rsid w:val="00262664"/>
    <w:rsid w:val="00297901"/>
    <w:rsid w:val="002B2C85"/>
    <w:rsid w:val="002C5B23"/>
    <w:rsid w:val="002D1B45"/>
    <w:rsid w:val="002D36F0"/>
    <w:rsid w:val="002E49A3"/>
    <w:rsid w:val="002F0CD0"/>
    <w:rsid w:val="002F54E3"/>
    <w:rsid w:val="0032625E"/>
    <w:rsid w:val="0039343F"/>
    <w:rsid w:val="003B3686"/>
    <w:rsid w:val="003F2823"/>
    <w:rsid w:val="00417873"/>
    <w:rsid w:val="00437BB4"/>
    <w:rsid w:val="00450AEB"/>
    <w:rsid w:val="00456A5F"/>
    <w:rsid w:val="00460752"/>
    <w:rsid w:val="004668FC"/>
    <w:rsid w:val="004722F9"/>
    <w:rsid w:val="00495151"/>
    <w:rsid w:val="004B7F0C"/>
    <w:rsid w:val="004C549B"/>
    <w:rsid w:val="00500833"/>
    <w:rsid w:val="00510C95"/>
    <w:rsid w:val="00513C32"/>
    <w:rsid w:val="00561D05"/>
    <w:rsid w:val="00563D5F"/>
    <w:rsid w:val="00565B21"/>
    <w:rsid w:val="005733A1"/>
    <w:rsid w:val="005C1ADF"/>
    <w:rsid w:val="005C523A"/>
    <w:rsid w:val="005D04D3"/>
    <w:rsid w:val="00605F58"/>
    <w:rsid w:val="00655163"/>
    <w:rsid w:val="006719E3"/>
    <w:rsid w:val="0067527F"/>
    <w:rsid w:val="00681412"/>
    <w:rsid w:val="006D2A88"/>
    <w:rsid w:val="006E25A8"/>
    <w:rsid w:val="006E3AE4"/>
    <w:rsid w:val="006F1C8D"/>
    <w:rsid w:val="00706704"/>
    <w:rsid w:val="00730C06"/>
    <w:rsid w:val="007531C1"/>
    <w:rsid w:val="00756C33"/>
    <w:rsid w:val="00762ACD"/>
    <w:rsid w:val="0076795B"/>
    <w:rsid w:val="00771895"/>
    <w:rsid w:val="007733B8"/>
    <w:rsid w:val="00774E97"/>
    <w:rsid w:val="007836AA"/>
    <w:rsid w:val="007A1F95"/>
    <w:rsid w:val="007A22A4"/>
    <w:rsid w:val="007B05BE"/>
    <w:rsid w:val="007B29FE"/>
    <w:rsid w:val="007B53C3"/>
    <w:rsid w:val="007E3681"/>
    <w:rsid w:val="007E57F0"/>
    <w:rsid w:val="007E708E"/>
    <w:rsid w:val="007F4B2F"/>
    <w:rsid w:val="00804A46"/>
    <w:rsid w:val="008247FB"/>
    <w:rsid w:val="0083260A"/>
    <w:rsid w:val="008326D0"/>
    <w:rsid w:val="00837604"/>
    <w:rsid w:val="0084006A"/>
    <w:rsid w:val="008965BA"/>
    <w:rsid w:val="008A217B"/>
    <w:rsid w:val="008A31F7"/>
    <w:rsid w:val="008B2002"/>
    <w:rsid w:val="008B5C98"/>
    <w:rsid w:val="008C012C"/>
    <w:rsid w:val="008E142C"/>
    <w:rsid w:val="008E7ECF"/>
    <w:rsid w:val="008F1CA5"/>
    <w:rsid w:val="0091436C"/>
    <w:rsid w:val="00921855"/>
    <w:rsid w:val="00921B59"/>
    <w:rsid w:val="00931527"/>
    <w:rsid w:val="00953230"/>
    <w:rsid w:val="0096362D"/>
    <w:rsid w:val="00975FB7"/>
    <w:rsid w:val="00977527"/>
    <w:rsid w:val="00A004B6"/>
    <w:rsid w:val="00A45DD6"/>
    <w:rsid w:val="00A81D63"/>
    <w:rsid w:val="00AA0EEE"/>
    <w:rsid w:val="00AA4262"/>
    <w:rsid w:val="00AB2F97"/>
    <w:rsid w:val="00AB6860"/>
    <w:rsid w:val="00AC2D98"/>
    <w:rsid w:val="00AC5152"/>
    <w:rsid w:val="00B5742D"/>
    <w:rsid w:val="00B638E4"/>
    <w:rsid w:val="00B902B8"/>
    <w:rsid w:val="00BA3C20"/>
    <w:rsid w:val="00BA6AA9"/>
    <w:rsid w:val="00BB44E7"/>
    <w:rsid w:val="00BC0E69"/>
    <w:rsid w:val="00BD05E3"/>
    <w:rsid w:val="00BE7362"/>
    <w:rsid w:val="00C40C7C"/>
    <w:rsid w:val="00C468C4"/>
    <w:rsid w:val="00C77816"/>
    <w:rsid w:val="00C92A39"/>
    <w:rsid w:val="00CB4085"/>
    <w:rsid w:val="00CC0655"/>
    <w:rsid w:val="00CC3B87"/>
    <w:rsid w:val="00CC4994"/>
    <w:rsid w:val="00CE1DF1"/>
    <w:rsid w:val="00D01B89"/>
    <w:rsid w:val="00D13ED0"/>
    <w:rsid w:val="00D14E6A"/>
    <w:rsid w:val="00D25ED3"/>
    <w:rsid w:val="00D765B0"/>
    <w:rsid w:val="00D81A23"/>
    <w:rsid w:val="00D85EB6"/>
    <w:rsid w:val="00D95E38"/>
    <w:rsid w:val="00DA3214"/>
    <w:rsid w:val="00DA5CA6"/>
    <w:rsid w:val="00DB28E0"/>
    <w:rsid w:val="00DB7553"/>
    <w:rsid w:val="00DE1A23"/>
    <w:rsid w:val="00E023A9"/>
    <w:rsid w:val="00E22E77"/>
    <w:rsid w:val="00E2724F"/>
    <w:rsid w:val="00E75088"/>
    <w:rsid w:val="00E77D4B"/>
    <w:rsid w:val="00E8743C"/>
    <w:rsid w:val="00EB6A47"/>
    <w:rsid w:val="00EB6BD7"/>
    <w:rsid w:val="00F20A02"/>
    <w:rsid w:val="00F2360B"/>
    <w:rsid w:val="00F23D17"/>
    <w:rsid w:val="00F362BE"/>
    <w:rsid w:val="00F408FC"/>
    <w:rsid w:val="00F43D4D"/>
    <w:rsid w:val="00F72296"/>
    <w:rsid w:val="00F83EBC"/>
    <w:rsid w:val="00F8463A"/>
    <w:rsid w:val="00F977ED"/>
    <w:rsid w:val="00FA027C"/>
    <w:rsid w:val="00FB07DF"/>
    <w:rsid w:val="00F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5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1ADF"/>
    <w:rPr>
      <w:b/>
      <w:bCs/>
    </w:rPr>
  </w:style>
  <w:style w:type="character" w:customStyle="1" w:styleId="Heading2Char">
    <w:name w:val="Heading 2 Char"/>
    <w:basedOn w:val="DefaultParagraphFont"/>
    <w:link w:val="Heading2"/>
    <w:uiPriority w:val="9"/>
    <w:rsid w:val="002F54E3"/>
    <w:rPr>
      <w:rFonts w:ascii="Times New Roman" w:eastAsia="Times New Roman" w:hAnsi="Times New Roman" w:cs="Times New Roman"/>
      <w:b/>
      <w:bCs/>
      <w:sz w:val="36"/>
      <w:szCs w:val="36"/>
    </w:rPr>
  </w:style>
  <w:style w:type="paragraph" w:styleId="NormalWeb">
    <w:name w:val="Normal (Web)"/>
    <w:basedOn w:val="Normal"/>
    <w:uiPriority w:val="99"/>
    <w:unhideWhenUsed/>
    <w:rsid w:val="001A16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27"/>
    <w:rPr>
      <w:rFonts w:ascii="Tahoma" w:hAnsi="Tahoma" w:cs="Tahoma"/>
      <w:sz w:val="16"/>
      <w:szCs w:val="16"/>
    </w:rPr>
  </w:style>
  <w:style w:type="paragraph" w:customStyle="1" w:styleId="center">
    <w:name w:val="center"/>
    <w:basedOn w:val="Normal"/>
    <w:rsid w:val="003B3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86"/>
    <w:rPr>
      <w:i/>
      <w:iCs/>
    </w:rPr>
  </w:style>
  <w:style w:type="paragraph" w:customStyle="1" w:styleId="center80">
    <w:name w:val="center80"/>
    <w:basedOn w:val="Normal"/>
    <w:rsid w:val="001423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DF1"/>
    <w:pPr>
      <w:ind w:left="720"/>
      <w:contextualSpacing/>
    </w:pPr>
  </w:style>
  <w:style w:type="paragraph" w:styleId="Header">
    <w:name w:val="header"/>
    <w:basedOn w:val="Normal"/>
    <w:link w:val="HeaderChar"/>
    <w:uiPriority w:val="99"/>
    <w:unhideWhenUsed/>
    <w:rsid w:val="00921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55"/>
  </w:style>
  <w:style w:type="paragraph" w:styleId="Footer">
    <w:name w:val="footer"/>
    <w:basedOn w:val="Normal"/>
    <w:link w:val="FooterChar"/>
    <w:uiPriority w:val="99"/>
    <w:unhideWhenUsed/>
    <w:rsid w:val="00921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55"/>
  </w:style>
  <w:style w:type="character" w:customStyle="1" w:styleId="mjx-char">
    <w:name w:val="mjx-char"/>
    <w:basedOn w:val="DefaultParagraphFont"/>
    <w:rsid w:val="00245F7C"/>
  </w:style>
  <w:style w:type="character" w:customStyle="1" w:styleId="Heading1Char">
    <w:name w:val="Heading 1 Char"/>
    <w:basedOn w:val="DefaultParagraphFont"/>
    <w:link w:val="Heading1"/>
    <w:uiPriority w:val="9"/>
    <w:rsid w:val="003F28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5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1ADF"/>
    <w:rPr>
      <w:b/>
      <w:bCs/>
    </w:rPr>
  </w:style>
  <w:style w:type="character" w:customStyle="1" w:styleId="Heading2Char">
    <w:name w:val="Heading 2 Char"/>
    <w:basedOn w:val="DefaultParagraphFont"/>
    <w:link w:val="Heading2"/>
    <w:uiPriority w:val="9"/>
    <w:rsid w:val="002F54E3"/>
    <w:rPr>
      <w:rFonts w:ascii="Times New Roman" w:eastAsia="Times New Roman" w:hAnsi="Times New Roman" w:cs="Times New Roman"/>
      <w:b/>
      <w:bCs/>
      <w:sz w:val="36"/>
      <w:szCs w:val="36"/>
    </w:rPr>
  </w:style>
  <w:style w:type="paragraph" w:styleId="NormalWeb">
    <w:name w:val="Normal (Web)"/>
    <w:basedOn w:val="Normal"/>
    <w:uiPriority w:val="99"/>
    <w:unhideWhenUsed/>
    <w:rsid w:val="001A16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27"/>
    <w:rPr>
      <w:rFonts w:ascii="Tahoma" w:hAnsi="Tahoma" w:cs="Tahoma"/>
      <w:sz w:val="16"/>
      <w:szCs w:val="16"/>
    </w:rPr>
  </w:style>
  <w:style w:type="paragraph" w:customStyle="1" w:styleId="center">
    <w:name w:val="center"/>
    <w:basedOn w:val="Normal"/>
    <w:rsid w:val="003B3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86"/>
    <w:rPr>
      <w:i/>
      <w:iCs/>
    </w:rPr>
  </w:style>
  <w:style w:type="paragraph" w:customStyle="1" w:styleId="center80">
    <w:name w:val="center80"/>
    <w:basedOn w:val="Normal"/>
    <w:rsid w:val="001423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DF1"/>
    <w:pPr>
      <w:ind w:left="720"/>
      <w:contextualSpacing/>
    </w:pPr>
  </w:style>
  <w:style w:type="paragraph" w:styleId="Header">
    <w:name w:val="header"/>
    <w:basedOn w:val="Normal"/>
    <w:link w:val="HeaderChar"/>
    <w:uiPriority w:val="99"/>
    <w:unhideWhenUsed/>
    <w:rsid w:val="00921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55"/>
  </w:style>
  <w:style w:type="paragraph" w:styleId="Footer">
    <w:name w:val="footer"/>
    <w:basedOn w:val="Normal"/>
    <w:link w:val="FooterChar"/>
    <w:uiPriority w:val="99"/>
    <w:unhideWhenUsed/>
    <w:rsid w:val="00921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55"/>
  </w:style>
  <w:style w:type="character" w:customStyle="1" w:styleId="mjx-char">
    <w:name w:val="mjx-char"/>
    <w:basedOn w:val="DefaultParagraphFont"/>
    <w:rsid w:val="00245F7C"/>
  </w:style>
  <w:style w:type="character" w:customStyle="1" w:styleId="Heading1Char">
    <w:name w:val="Heading 1 Char"/>
    <w:basedOn w:val="DefaultParagraphFont"/>
    <w:link w:val="Heading1"/>
    <w:uiPriority w:val="9"/>
    <w:rsid w:val="003F28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67127">
      <w:bodyDiv w:val="1"/>
      <w:marLeft w:val="0"/>
      <w:marRight w:val="0"/>
      <w:marTop w:val="0"/>
      <w:marBottom w:val="0"/>
      <w:divBdr>
        <w:top w:val="none" w:sz="0" w:space="0" w:color="auto"/>
        <w:left w:val="none" w:sz="0" w:space="0" w:color="auto"/>
        <w:bottom w:val="none" w:sz="0" w:space="0" w:color="auto"/>
        <w:right w:val="none" w:sz="0" w:space="0" w:color="auto"/>
      </w:divBdr>
      <w:divsChild>
        <w:div w:id="737442590">
          <w:marLeft w:val="0"/>
          <w:marRight w:val="0"/>
          <w:marTop w:val="0"/>
          <w:marBottom w:val="0"/>
          <w:divBdr>
            <w:top w:val="none" w:sz="0" w:space="0" w:color="auto"/>
            <w:left w:val="none" w:sz="0" w:space="0" w:color="auto"/>
            <w:bottom w:val="none" w:sz="0" w:space="0" w:color="auto"/>
            <w:right w:val="none" w:sz="0" w:space="0" w:color="auto"/>
          </w:divBdr>
        </w:div>
        <w:div w:id="1841702073">
          <w:marLeft w:val="0"/>
          <w:marRight w:val="0"/>
          <w:marTop w:val="0"/>
          <w:marBottom w:val="0"/>
          <w:divBdr>
            <w:top w:val="none" w:sz="0" w:space="0" w:color="auto"/>
            <w:left w:val="none" w:sz="0" w:space="0" w:color="auto"/>
            <w:bottom w:val="none" w:sz="0" w:space="0" w:color="auto"/>
            <w:right w:val="none" w:sz="0" w:space="0" w:color="auto"/>
          </w:divBdr>
        </w:div>
      </w:divsChild>
    </w:div>
    <w:div w:id="153685536">
      <w:bodyDiv w:val="1"/>
      <w:marLeft w:val="0"/>
      <w:marRight w:val="0"/>
      <w:marTop w:val="0"/>
      <w:marBottom w:val="0"/>
      <w:divBdr>
        <w:top w:val="none" w:sz="0" w:space="0" w:color="auto"/>
        <w:left w:val="none" w:sz="0" w:space="0" w:color="auto"/>
        <w:bottom w:val="none" w:sz="0" w:space="0" w:color="auto"/>
        <w:right w:val="none" w:sz="0" w:space="0" w:color="auto"/>
      </w:divBdr>
    </w:div>
    <w:div w:id="265119442">
      <w:bodyDiv w:val="1"/>
      <w:marLeft w:val="0"/>
      <w:marRight w:val="0"/>
      <w:marTop w:val="0"/>
      <w:marBottom w:val="0"/>
      <w:divBdr>
        <w:top w:val="none" w:sz="0" w:space="0" w:color="auto"/>
        <w:left w:val="none" w:sz="0" w:space="0" w:color="auto"/>
        <w:bottom w:val="none" w:sz="0" w:space="0" w:color="auto"/>
        <w:right w:val="none" w:sz="0" w:space="0" w:color="auto"/>
      </w:divBdr>
    </w:div>
    <w:div w:id="740373062">
      <w:bodyDiv w:val="1"/>
      <w:marLeft w:val="0"/>
      <w:marRight w:val="0"/>
      <w:marTop w:val="0"/>
      <w:marBottom w:val="0"/>
      <w:divBdr>
        <w:top w:val="none" w:sz="0" w:space="0" w:color="auto"/>
        <w:left w:val="none" w:sz="0" w:space="0" w:color="auto"/>
        <w:bottom w:val="none" w:sz="0" w:space="0" w:color="auto"/>
        <w:right w:val="none" w:sz="0" w:space="0" w:color="auto"/>
      </w:divBdr>
    </w:div>
    <w:div w:id="749276742">
      <w:bodyDiv w:val="1"/>
      <w:marLeft w:val="0"/>
      <w:marRight w:val="0"/>
      <w:marTop w:val="0"/>
      <w:marBottom w:val="0"/>
      <w:divBdr>
        <w:top w:val="none" w:sz="0" w:space="0" w:color="auto"/>
        <w:left w:val="none" w:sz="0" w:space="0" w:color="auto"/>
        <w:bottom w:val="none" w:sz="0" w:space="0" w:color="auto"/>
        <w:right w:val="none" w:sz="0" w:space="0" w:color="auto"/>
      </w:divBdr>
    </w:div>
    <w:div w:id="1002658967">
      <w:bodyDiv w:val="1"/>
      <w:marLeft w:val="0"/>
      <w:marRight w:val="0"/>
      <w:marTop w:val="0"/>
      <w:marBottom w:val="0"/>
      <w:divBdr>
        <w:top w:val="none" w:sz="0" w:space="0" w:color="auto"/>
        <w:left w:val="none" w:sz="0" w:space="0" w:color="auto"/>
        <w:bottom w:val="none" w:sz="0" w:space="0" w:color="auto"/>
        <w:right w:val="none" w:sz="0" w:space="0" w:color="auto"/>
      </w:divBdr>
    </w:div>
    <w:div w:id="1033455158">
      <w:bodyDiv w:val="1"/>
      <w:marLeft w:val="0"/>
      <w:marRight w:val="0"/>
      <w:marTop w:val="0"/>
      <w:marBottom w:val="0"/>
      <w:divBdr>
        <w:top w:val="none" w:sz="0" w:space="0" w:color="auto"/>
        <w:left w:val="none" w:sz="0" w:space="0" w:color="auto"/>
        <w:bottom w:val="none" w:sz="0" w:space="0" w:color="auto"/>
        <w:right w:val="none" w:sz="0" w:space="0" w:color="auto"/>
      </w:divBdr>
      <w:divsChild>
        <w:div w:id="223177910">
          <w:marLeft w:val="225"/>
          <w:marRight w:val="225"/>
          <w:marTop w:val="150"/>
          <w:marBottom w:val="150"/>
          <w:divBdr>
            <w:top w:val="none" w:sz="0" w:space="0" w:color="auto"/>
            <w:left w:val="none" w:sz="0" w:space="0" w:color="auto"/>
            <w:bottom w:val="none" w:sz="0" w:space="0" w:color="auto"/>
            <w:right w:val="none" w:sz="0" w:space="0" w:color="auto"/>
          </w:divBdr>
        </w:div>
      </w:divsChild>
    </w:div>
    <w:div w:id="1310209985">
      <w:bodyDiv w:val="1"/>
      <w:marLeft w:val="0"/>
      <w:marRight w:val="0"/>
      <w:marTop w:val="0"/>
      <w:marBottom w:val="0"/>
      <w:divBdr>
        <w:top w:val="none" w:sz="0" w:space="0" w:color="auto"/>
        <w:left w:val="none" w:sz="0" w:space="0" w:color="auto"/>
        <w:bottom w:val="none" w:sz="0" w:space="0" w:color="auto"/>
        <w:right w:val="none" w:sz="0" w:space="0" w:color="auto"/>
      </w:divBdr>
    </w:div>
    <w:div w:id="1672484620">
      <w:bodyDiv w:val="1"/>
      <w:marLeft w:val="0"/>
      <w:marRight w:val="0"/>
      <w:marTop w:val="0"/>
      <w:marBottom w:val="0"/>
      <w:divBdr>
        <w:top w:val="none" w:sz="0" w:space="0" w:color="auto"/>
        <w:left w:val="none" w:sz="0" w:space="0" w:color="auto"/>
        <w:bottom w:val="none" w:sz="0" w:space="0" w:color="auto"/>
        <w:right w:val="none" w:sz="0" w:space="0" w:color="auto"/>
      </w:divBdr>
    </w:div>
    <w:div w:id="1722091922">
      <w:bodyDiv w:val="1"/>
      <w:marLeft w:val="0"/>
      <w:marRight w:val="0"/>
      <w:marTop w:val="0"/>
      <w:marBottom w:val="0"/>
      <w:divBdr>
        <w:top w:val="none" w:sz="0" w:space="0" w:color="auto"/>
        <w:left w:val="none" w:sz="0" w:space="0" w:color="auto"/>
        <w:bottom w:val="none" w:sz="0" w:space="0" w:color="auto"/>
        <w:right w:val="none" w:sz="0" w:space="0" w:color="auto"/>
      </w:divBdr>
    </w:div>
    <w:div w:id="1844585829">
      <w:bodyDiv w:val="1"/>
      <w:marLeft w:val="0"/>
      <w:marRight w:val="0"/>
      <w:marTop w:val="0"/>
      <w:marBottom w:val="0"/>
      <w:divBdr>
        <w:top w:val="none" w:sz="0" w:space="0" w:color="auto"/>
        <w:left w:val="none" w:sz="0" w:space="0" w:color="auto"/>
        <w:bottom w:val="none" w:sz="0" w:space="0" w:color="auto"/>
        <w:right w:val="none" w:sz="0" w:space="0" w:color="auto"/>
      </w:divBdr>
      <w:divsChild>
        <w:div w:id="1232043333">
          <w:marLeft w:val="675"/>
          <w:marRight w:val="0"/>
          <w:marTop w:val="300"/>
          <w:marBottom w:val="450"/>
          <w:divBdr>
            <w:top w:val="none" w:sz="0" w:space="0" w:color="auto"/>
            <w:left w:val="none" w:sz="0" w:space="0" w:color="auto"/>
            <w:bottom w:val="none" w:sz="0" w:space="0" w:color="auto"/>
            <w:right w:val="none" w:sz="0" w:space="0" w:color="auto"/>
          </w:divBdr>
        </w:div>
      </w:divsChild>
    </w:div>
    <w:div w:id="18647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1636</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dc:creator>
  <cp:keywords/>
  <dc:description/>
  <cp:lastModifiedBy>SRINU</cp:lastModifiedBy>
  <cp:revision>200</cp:revision>
  <dcterms:created xsi:type="dcterms:W3CDTF">2021-06-17T00:59:00Z</dcterms:created>
  <dcterms:modified xsi:type="dcterms:W3CDTF">2021-06-20T14:31:00Z</dcterms:modified>
</cp:coreProperties>
</file>