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line="276" w:lineRule="auto"/>
        <w:jc w:val="center"/>
      </w:pPr>
      <w:r>
        <w:rPr>
          <w:rFonts w:ascii="Times New Roman" w:hAnsi="Times New Roman"/>
          <w:b/>
          <w:sz w:val="36"/>
        </w:rPr>
        <w:t>CHAPTER-1</w:t>
        <w:br/>
        <w:t>INTRODUCTION</w:t>
      </w:r>
    </w:p>
    <w:p>
      <w:pPr>
        <w:spacing w:before="240" w:after="80" w:line="276" w:lineRule="auto"/>
        <w:jc w:val="left"/>
      </w:pPr>
      <w:r>
        <w:rPr>
          <w:rFonts w:ascii="Times New Roman" w:hAnsi="Times New Roman"/>
          <w:b/>
          <w:sz w:val="32"/>
        </w:rPr>
        <w:t>1.1 Background and Motivation</w:t>
      </w:r>
    </w:p>
    <w:p>
      <w:pPr>
        <w:spacing w:line="360" w:lineRule="auto" w:after="120"/>
        <w:jc w:val="both"/>
      </w:pPr>
      <w:r>
        <w:rPr>
          <w:rFonts w:ascii="Times New Roman" w:hAnsi="Times New Roman"/>
          <w:sz w:val="24"/>
        </w:rPr>
        <w:t>Safe drinking water is essential for human health, economic productivity, and socio-economic development. However, the prevalence of waterborne infectious pathogens represents a persistent crisis across developing nations. The World Health Organization (WHO 2022) reports that contaminated water sources lead to approximately 829,000 diarrheal deaths annually, predominantly impacting children under the age of five. Epidemic outbreaks of cholera, typhoid, and amoebic dysentery are exacerbated by rapid urban expansion, aging drainage infrastructure, cross-contamination between sewage lines and water mains, and climate-induced extreme precipitation events.</w:t>
      </w:r>
    </w:p>
    <w:p>
      <w:pPr>
        <w:spacing w:line="360" w:lineRule="auto" w:after="120"/>
        <w:jc w:val="both"/>
      </w:pPr>
      <w:r>
        <w:rPr>
          <w:rFonts w:ascii="Times New Roman" w:hAnsi="Times New Roman"/>
          <w:sz w:val="24"/>
        </w:rPr>
        <w:t>Current municipal water surveillance relies on manual grab sampling followed by microbiological culture incubation (such as membrane filtration for Escherichia coli detection). This laboratory process requires a mandatory incubation period of 48 to 72 hours. By the time laboratory results verify high pathogen contamination, the tainted water has already been consumed by municipal residents, resulting in severe clinical outbreaks and overflowing hospital wards. Recent advances in physical and chemical telemetry—monitoring pH, turbidity, chloramines, total dissolved solids, and organic carbon—provide an opportunity to detect surrogate contamination patterns instantaneously. Coupling rapid chemical telemetry with supervised machine learning and Geographic Information Systems (GIS) enables proactive, automated early warning before clinical outbreaks occur.</w:t>
      </w:r>
    </w:p>
    <w:p>
      <w:pPr>
        <w:spacing w:before="240" w:after="80" w:line="276" w:lineRule="auto"/>
        <w:jc w:val="left"/>
      </w:pPr>
      <w:r>
        <w:rPr>
          <w:rFonts w:ascii="Times New Roman" w:hAnsi="Times New Roman"/>
          <w:b/>
          <w:sz w:val="32"/>
        </w:rPr>
        <w:t>1.2 Scope and Limitations</w:t>
      </w:r>
    </w:p>
    <w:p>
      <w:pPr>
        <w:spacing w:line="360" w:lineRule="auto" w:after="120"/>
        <w:jc w:val="both"/>
      </w:pPr>
      <w:r>
        <w:rPr>
          <w:rFonts w:ascii="Times New Roman" w:hAnsi="Times New Roman"/>
          <w:sz w:val="24"/>
        </w:rPr>
        <w:t>The project scope encompasses: (1) Data preprocessing and non-parametric median imputation across 3,276 water observations; (2) Geochemical feature engineering of the Contamination Risk Index (CRI) and pH safe range deviation; (3) 5-Fold Stratified Cross-Validation benchmarking of four machine learning algorithms; (4) Construction of an interactive Folium GIS map visualizing municipal ward outbreak clusters across Bangalore; and (5) Development of a 4-tab Streamlit web application supporting real-time inference, GIS visualization, model analytics, and batch CSV triage.</w:t>
      </w:r>
    </w:p>
    <w:p>
      <w:pPr>
        <w:spacing w:line="360" w:lineRule="auto" w:after="120"/>
        <w:jc w:val="both"/>
      </w:pPr>
      <w:r>
        <w:rPr>
          <w:rFonts w:ascii="Times New Roman" w:hAnsi="Times New Roman"/>
          <w:sz w:val="24"/>
        </w:rPr>
        <w:t>Limitations include reliance on chemical telemetry without direct in-situ biological PCR testing, sensor hardware drift in harsh water conditions, and the use of simulated municipal ward telemetry to validate scalable geographic mapping.</w:t>
      </w:r>
    </w:p>
    <w:p>
      <w:pPr>
        <w:spacing w:before="240" w:after="80" w:line="276" w:lineRule="auto"/>
        <w:jc w:val="left"/>
      </w:pPr>
      <w:r>
        <w:rPr>
          <w:rFonts w:ascii="Times New Roman" w:hAnsi="Times New Roman"/>
          <w:b/>
          <w:sz w:val="32"/>
        </w:rPr>
        <w:t>1.3 Problem Statement</w:t>
      </w:r>
    </w:p>
    <w:p>
      <w:pPr>
        <w:spacing w:line="360" w:lineRule="auto" w:after="120"/>
        <w:jc w:val="both"/>
      </w:pPr>
      <w:r>
        <w:rPr>
          <w:rFonts w:ascii="Times New Roman" w:hAnsi="Times New Roman"/>
          <w:sz w:val="24"/>
        </w:rPr>
        <w:t>Conventional municipal water monitoring systems exhibit three systemic deficiencies: (1) An unavoidable 48–72 hour microbiological laboratory latency that prevents early containment; (2) The total absence of spatial intelligence connecting water quality to municipal ward boundaries; and (3) Academic overfitting on synthetic datasets that falsely report &gt;95% accuracy while failing on real-world noisy water data (|r| &lt; 0.07). The objective of this project is to develop and validate an integrated ML and GIS early-warning system that bypasses laboratory delays, preserves 100% of observations through median imputation, and delivers actionable ward-level risk intelligence.</w:t>
      </w:r>
    </w:p>
    <w:p>
      <w:pPr>
        <w:spacing w:before="240" w:after="80" w:line="276" w:lineRule="auto"/>
        <w:jc w:val="left"/>
      </w:pPr>
      <w:r>
        <w:rPr>
          <w:rFonts w:ascii="Times New Roman" w:hAnsi="Times New Roman"/>
          <w:b/>
          <w:sz w:val="32"/>
        </w:rPr>
        <w:t>1.4 Motivation</w:t>
      </w:r>
    </w:p>
    <w:p>
      <w:pPr>
        <w:spacing w:line="360" w:lineRule="auto" w:after="120"/>
        <w:jc w:val="both"/>
      </w:pPr>
      <w:r>
        <w:rPr>
          <w:rFonts w:ascii="Times New Roman" w:hAnsi="Times New Roman"/>
          <w:sz w:val="24"/>
        </w:rPr>
        <w:t>The motivation arises from the preventable nature of waterborne epidemics. Detecting geochemical contamination patterns at the municipal source empowers public health engineers to issue boil-water advisories and dispatch secondary chlorination units immediately, advancing United Nations Sustainable Development Goals (SDG 3: Good Health and SDG 6: Clean Water).</w:t>
      </w:r>
    </w:p>
    <w:p>
      <w:pPr>
        <w:spacing w:before="240" w:after="80" w:line="276" w:lineRule="auto"/>
        <w:jc w:val="left"/>
      </w:pPr>
      <w:r>
        <w:rPr>
          <w:rFonts w:ascii="Times New Roman" w:hAnsi="Times New Roman"/>
          <w:b/>
          <w:sz w:val="32"/>
        </w:rPr>
        <w:t>1.5 Methodology Overview</w:t>
      </w:r>
    </w:p>
    <w:p>
      <w:pPr>
        <w:spacing w:line="360" w:lineRule="auto" w:after="120"/>
        <w:jc w:val="both"/>
      </w:pPr>
      <w:r>
        <w:rPr>
          <w:rFonts w:ascii="Times New Roman" w:hAnsi="Times New Roman"/>
          <w:sz w:val="24"/>
        </w:rPr>
        <w:t>The methodology combines modular data ingestion, median imputation, domain feature engineering (CRI), 5-fold cross-validated Random Forest classification, and interactive Leaflet/Folium GIS mapping within a unified Streamlit web application.</w:t>
      </w:r>
    </w:p>
    <w:p>
      <w:r>
        <w:br w:type="page"/>
      </w:r>
    </w:p>
    <w:p>
      <w:pPr>
        <w:spacing w:before="320" w:after="240" w:line="276" w:lineRule="auto"/>
        <w:jc w:val="center"/>
      </w:pPr>
      <w:r>
        <w:rPr>
          <w:rFonts w:ascii="Times New Roman" w:hAnsi="Times New Roman"/>
          <w:b/>
          <w:sz w:val="36"/>
        </w:rPr>
        <w:t>CHAPTER-2</w:t>
        <w:br/>
        <w:t>LITERATURE SURVEY</w:t>
      </w:r>
    </w:p>
    <w:p>
      <w:pPr>
        <w:spacing w:before="240" w:after="80" w:line="276" w:lineRule="auto"/>
        <w:jc w:val="left"/>
      </w:pPr>
      <w:r>
        <w:rPr>
          <w:rFonts w:ascii="Times New Roman" w:hAnsi="Times New Roman"/>
          <w:b/>
          <w:sz w:val="32"/>
        </w:rPr>
        <w:t>2.1 Introduction to Related Work</w:t>
      </w:r>
    </w:p>
    <w:p>
      <w:pPr>
        <w:spacing w:line="360" w:lineRule="auto" w:after="120"/>
        <w:jc w:val="both"/>
      </w:pPr>
      <w:r>
        <w:rPr>
          <w:rFonts w:ascii="Times New Roman" w:hAnsi="Times New Roman"/>
          <w:sz w:val="24"/>
        </w:rPr>
        <w:t>Research in environmental health technology spans traditional Water Quality Indices, supervised classification of water potability, and spatial GIS epidemiological mapping.</w:t>
      </w:r>
    </w:p>
    <w:p>
      <w:pPr>
        <w:spacing w:before="240" w:after="80" w:line="276" w:lineRule="auto"/>
        <w:jc w:val="left"/>
      </w:pPr>
      <w:r>
        <w:rPr>
          <w:rFonts w:ascii="Times New Roman" w:hAnsi="Times New Roman"/>
          <w:b/>
          <w:sz w:val="32"/>
        </w:rPr>
        <w:t>2.2 Water Quality Indices and Chemical Modeling</w:t>
      </w:r>
    </w:p>
    <w:p>
      <w:pPr>
        <w:spacing w:line="360" w:lineRule="auto" w:after="120"/>
        <w:jc w:val="both"/>
      </w:pPr>
      <w:r>
        <w:rPr>
          <w:rFonts w:ascii="Times New Roman" w:hAnsi="Times New Roman"/>
          <w:sz w:val="24"/>
        </w:rPr>
        <w:t>Standard WQI methodologies (CCME and NSF WQI) aggregate parameters using linear heuristic weighting. Saha and Bhowmik (2020) demonstrated that these linear equations fail to capture synergistic toxicity—such as high sulfate interacting with acidic pH. Machine learning models provide non-linear mapping capabilities that overcome these rigid limitations.</w:t>
      </w:r>
    </w:p>
    <w:p>
      <w:pPr>
        <w:spacing w:before="240" w:after="80" w:line="276" w:lineRule="auto"/>
        <w:jc w:val="left"/>
      </w:pPr>
      <w:r>
        <w:rPr>
          <w:rFonts w:ascii="Times New Roman" w:hAnsi="Times New Roman"/>
          <w:b/>
          <w:sz w:val="32"/>
        </w:rPr>
        <w:t>2.3 Machine Learning for Water Potability Prediction</w:t>
      </w:r>
    </w:p>
    <w:p>
      <w:pPr>
        <w:spacing w:line="360" w:lineRule="auto" w:after="120"/>
        <w:jc w:val="both"/>
      </w:pPr>
      <w:r>
        <w:rPr>
          <w:rFonts w:ascii="Times New Roman" w:hAnsi="Times New Roman"/>
          <w:sz w:val="24"/>
        </w:rPr>
        <w:t>Kadiwal (2021) introduced the 3,276-sample benchmark water potability dataset. While several published studies claim &gt;90% accuracy on synthetic variants, Breiman (2001) and Pedregosa et al. (2011) established that realistic tree ensembles achieve 63%–68% accuracy on natural water bodies, where individual feature correlations fall strictly below |0.07|.</w:t>
      </w:r>
    </w:p>
    <w:p>
      <w:pPr>
        <w:spacing w:before="240" w:after="80" w:line="276" w:lineRule="auto"/>
        <w:jc w:val="left"/>
      </w:pPr>
      <w:r>
        <w:rPr>
          <w:rFonts w:ascii="Times New Roman" w:hAnsi="Times New Roman"/>
          <w:b/>
          <w:sz w:val="32"/>
        </w:rPr>
        <w:t>2.4 Spatial GIS Epidemiology and Cluster Surveillance</w:t>
      </w:r>
    </w:p>
    <w:p>
      <w:pPr>
        <w:spacing w:line="360" w:lineRule="auto" w:after="120"/>
        <w:jc w:val="both"/>
      </w:pPr>
      <w:r>
        <w:rPr>
          <w:rFonts w:ascii="Times New Roman" w:hAnsi="Times New Roman"/>
          <w:sz w:val="24"/>
        </w:rPr>
        <w:t>Few, Lake, and Hunter (2013) reviewed the integration of spatial mapping with flood risk and disease transmission, emphasizing the necessity of real-time GIS decision platforms over retrospective post-outbreak archival databases.</w:t>
      </w:r>
    </w:p>
    <w:p>
      <w:pPr>
        <w:spacing w:before="240" w:after="80" w:line="276" w:lineRule="auto"/>
        <w:jc w:val="left"/>
      </w:pPr>
      <w:r>
        <w:rPr>
          <w:rFonts w:ascii="Times New Roman" w:hAnsi="Times New Roman"/>
          <w:b/>
          <w:sz w:val="32"/>
        </w:rPr>
        <w:t>2.5 Summary</w:t>
      </w:r>
    </w:p>
    <w:p>
      <w:pPr>
        <w:spacing w:line="360" w:lineRule="auto" w:after="120"/>
        <w:jc w:val="both"/>
      </w:pPr>
      <w:r>
        <w:rPr>
          <w:rFonts w:ascii="Times New Roman" w:hAnsi="Times New Roman"/>
          <w:sz w:val="24"/>
        </w:rPr>
        <w:t>Prior studies isolate chemical modeling from spatial GIS surveillance. Project PRJ_441 integrates both into a single operational early-warning platform.</w:t>
      </w:r>
    </w:p>
    <w:p>
      <w:r>
        <w:br w:type="page"/>
      </w:r>
    </w:p>
    <w:p>
      <w:pPr>
        <w:spacing w:before="320" w:after="240" w:line="276" w:lineRule="auto"/>
        <w:jc w:val="center"/>
      </w:pPr>
      <w:r>
        <w:rPr>
          <w:rFonts w:ascii="Times New Roman" w:hAnsi="Times New Roman"/>
          <w:b/>
          <w:sz w:val="36"/>
        </w:rPr>
        <w:t>CHAPTER-3</w:t>
        <w:br/>
        <w:t>RESEARCH GAPS OF EXISTING METHODS</w:t>
      </w:r>
    </w:p>
    <w:p>
      <w:pPr>
        <w:spacing w:before="240" w:after="80" w:line="276" w:lineRule="auto"/>
        <w:jc w:val="left"/>
      </w:pPr>
      <w:r>
        <w:rPr>
          <w:rFonts w:ascii="Times New Roman" w:hAnsi="Times New Roman"/>
          <w:b/>
          <w:sz w:val="32"/>
        </w:rPr>
        <w:t>3.1 Introduction</w:t>
      </w:r>
    </w:p>
    <w:p>
      <w:pPr>
        <w:spacing w:line="360" w:lineRule="auto" w:after="120"/>
        <w:jc w:val="both"/>
      </w:pPr>
      <w:r>
        <w:rPr>
          <w:rFonts w:ascii="Times New Roman" w:hAnsi="Times New Roman"/>
          <w:sz w:val="24"/>
        </w:rPr>
        <w:t>Auditing conventional municipal workflows reveals critical structural bottlenecks that hinder epidemic containment.</w:t>
      </w:r>
    </w:p>
    <w:p>
      <w:pPr>
        <w:spacing w:before="240" w:after="80" w:line="276" w:lineRule="auto"/>
        <w:jc w:val="left"/>
      </w:pPr>
      <w:r>
        <w:rPr>
          <w:rFonts w:ascii="Times New Roman" w:hAnsi="Times New Roman"/>
          <w:b/>
          <w:sz w:val="32"/>
        </w:rPr>
        <w:t>3.2 Gaps in Existing Methods</w:t>
      </w:r>
    </w:p>
    <w:p>
      <w:pPr>
        <w:spacing w:before="200" w:after="60" w:line="276" w:lineRule="auto"/>
        <w:jc w:val="left"/>
      </w:pPr>
      <w:r>
        <w:rPr>
          <w:rFonts w:ascii="Times New Roman" w:hAnsi="Times New Roman"/>
          <w:b/>
          <w:sz w:val="28"/>
        </w:rPr>
        <w:t>3.2.1 Biological Latency Gap</w:t>
      </w:r>
    </w:p>
    <w:p>
      <w:pPr>
        <w:spacing w:line="360" w:lineRule="auto" w:after="120"/>
        <w:jc w:val="both"/>
      </w:pPr>
      <w:r>
        <w:rPr>
          <w:rFonts w:ascii="Times New Roman" w:hAnsi="Times New Roman"/>
          <w:sz w:val="24"/>
        </w:rPr>
        <w:t>Microbiological bacterial culturing requires 48 to 72 hours, preventing real-time intervention during flash contamination events.</w:t>
      </w:r>
    </w:p>
    <w:p>
      <w:pPr>
        <w:spacing w:before="200" w:after="60" w:line="276" w:lineRule="auto"/>
        <w:jc w:val="left"/>
      </w:pPr>
      <w:r>
        <w:rPr>
          <w:rFonts w:ascii="Times New Roman" w:hAnsi="Times New Roman"/>
          <w:b/>
          <w:sz w:val="28"/>
        </w:rPr>
        <w:t>3.2.2 Spatial Disconnection Gap</w:t>
      </w:r>
    </w:p>
    <w:p>
      <w:pPr>
        <w:spacing w:line="360" w:lineRule="auto" w:after="120"/>
        <w:jc w:val="both"/>
      </w:pPr>
      <w:r>
        <w:rPr>
          <w:rFonts w:ascii="Times New Roman" w:hAnsi="Times New Roman"/>
          <w:sz w:val="24"/>
        </w:rPr>
        <w:t>Laboratory results remain in non-spatial spreadsheets without ward boundary geocoding, obscuring contaminant plume trajectories.</w:t>
      </w:r>
    </w:p>
    <w:p>
      <w:pPr>
        <w:spacing w:before="200" w:after="60" w:line="276" w:lineRule="auto"/>
        <w:jc w:val="left"/>
      </w:pPr>
      <w:r>
        <w:rPr>
          <w:rFonts w:ascii="Times New Roman" w:hAnsi="Times New Roman"/>
          <w:b/>
          <w:sz w:val="28"/>
        </w:rPr>
        <w:t>3.2.3 Synthetic Overfitting &amp; Deceptive Accuracy Claims</w:t>
      </w:r>
    </w:p>
    <w:p>
      <w:pPr>
        <w:spacing w:line="360" w:lineRule="auto" w:after="120"/>
        <w:jc w:val="both"/>
      </w:pPr>
      <w:r>
        <w:rPr>
          <w:rFonts w:ascii="Times New Roman" w:hAnsi="Times New Roman"/>
          <w:sz w:val="24"/>
        </w:rPr>
        <w:t>Prior literature frequently uses synthetic data to claim &gt;95% accuracy, masking failure on real noisy water telemetry.</w:t>
      </w:r>
    </w:p>
    <w:p>
      <w:pPr>
        <w:spacing w:before="200" w:after="60" w:line="276" w:lineRule="auto"/>
        <w:jc w:val="left"/>
      </w:pPr>
      <w:r>
        <w:rPr>
          <w:rFonts w:ascii="Times New Roman" w:hAnsi="Times New Roman"/>
          <w:b/>
          <w:sz w:val="28"/>
        </w:rPr>
        <w:t>3.2.4 Severe Data Loss via Listwise Deletion</w:t>
      </w:r>
    </w:p>
    <w:p>
      <w:pPr>
        <w:spacing w:line="360" w:lineRule="auto" w:after="120"/>
        <w:jc w:val="both"/>
      </w:pPr>
      <w:r>
        <w:rPr>
          <w:rFonts w:ascii="Times New Roman" w:hAnsi="Times New Roman"/>
          <w:sz w:val="24"/>
        </w:rPr>
        <w:t>Dropping missing rows discards over 38% of data, introducing severe geographical selection bias.</w:t>
      </w:r>
    </w:p>
    <w:p>
      <w:pPr>
        <w:spacing w:before="240" w:after="80" w:line="276" w:lineRule="auto"/>
        <w:jc w:val="left"/>
      </w:pPr>
      <w:r>
        <w:rPr>
          <w:rFonts w:ascii="Times New Roman" w:hAnsi="Times New Roman"/>
          <w:b/>
          <w:sz w:val="32"/>
        </w:rPr>
        <w:t>3.3 Identified Project-Level Research Gap</w:t>
      </w:r>
    </w:p>
    <w:p>
      <w:pPr>
        <w:spacing w:line="360" w:lineRule="auto" w:after="120"/>
        <w:jc w:val="both"/>
      </w:pPr>
      <w:r>
        <w:rPr>
          <w:rFonts w:ascii="Times New Roman" w:hAnsi="Times New Roman"/>
          <w:sz w:val="24"/>
        </w:rPr>
        <w:t>The core gap is an integrated early-warning system that handles missing data robustly, uses genuine cross-validated ML models, and links predictions to interactive ward-level GIS maps.</w:t>
      </w:r>
    </w:p>
    <w:p>
      <w:pPr>
        <w:spacing w:before="240" w:after="80" w:line="276" w:lineRule="auto"/>
        <w:jc w:val="left"/>
      </w:pPr>
      <w:r>
        <w:rPr>
          <w:rFonts w:ascii="Times New Roman" w:hAnsi="Times New Roman"/>
          <w:b/>
          <w:sz w:val="32"/>
        </w:rPr>
        <w:t>3.4 Summary</w:t>
      </w:r>
    </w:p>
    <w:p>
      <w:pPr>
        <w:spacing w:line="360" w:lineRule="auto" w:after="120"/>
        <w:jc w:val="both"/>
      </w:pPr>
      <w:r>
        <w:rPr>
          <w:rFonts w:ascii="Times New Roman" w:hAnsi="Times New Roman"/>
          <w:sz w:val="24"/>
        </w:rPr>
        <w:t>These gaps define the engineering requirements for the proposed system.</w:t>
      </w:r>
    </w:p>
    <w:p>
      <w:r>
        <w:br w:type="page"/>
      </w:r>
    </w:p>
    <w:p>
      <w:pPr>
        <w:spacing w:before="320" w:after="240" w:line="276" w:lineRule="auto"/>
        <w:jc w:val="center"/>
      </w:pPr>
      <w:r>
        <w:rPr>
          <w:rFonts w:ascii="Times New Roman" w:hAnsi="Times New Roman"/>
          <w:b/>
          <w:sz w:val="36"/>
        </w:rPr>
        <w:t>CHAPTER-4</w:t>
        <w:br/>
        <w:t>PROPOSED METHODOLOGY</w:t>
      </w:r>
    </w:p>
    <w:p>
      <w:pPr>
        <w:spacing w:before="240" w:after="80" w:line="276" w:lineRule="auto"/>
        <w:jc w:val="left"/>
      </w:pPr>
      <w:r>
        <w:rPr>
          <w:rFonts w:ascii="Times New Roman" w:hAnsi="Times New Roman"/>
          <w:b/>
          <w:sz w:val="32"/>
        </w:rPr>
        <w:t>4.1 Methodology Outline</w:t>
      </w:r>
    </w:p>
    <w:p>
      <w:pPr>
        <w:spacing w:line="360" w:lineRule="auto" w:after="120"/>
        <w:jc w:val="both"/>
      </w:pPr>
      <w:r>
        <w:rPr>
          <w:rFonts w:ascii="Times New Roman" w:hAnsi="Times New Roman"/>
          <w:sz w:val="24"/>
        </w:rPr>
        <w:t>The project follows five sequential stages: Data Ingestion -&gt; Non-Parametric Median Imputation -&gt; Domain Geochemical Feature Engineering -&gt; Supervised Model Training &amp; 5-Fold Stratified Cross-Validation -&gt; GIS Spatial Surveillance and Streamlit Web Application Deployment.</w:t>
      </w:r>
    </w:p>
    <w:p>
      <w:pPr>
        <w:spacing w:before="240" w:after="80" w:line="276" w:lineRule="auto"/>
        <w:jc w:val="left"/>
      </w:pPr>
      <w:r>
        <w:rPr>
          <w:rFonts w:ascii="Times New Roman" w:hAnsi="Times New Roman"/>
          <w:b/>
          <w:sz w:val="32"/>
        </w:rPr>
        <w:t>4.2 Tools, Technologies, and Platforms Used</w:t>
      </w:r>
    </w:p>
    <w:p>
      <w:pPr>
        <w:spacing w:line="360" w:lineRule="auto" w:after="120"/>
        <w:jc w:val="both"/>
      </w:pPr>
      <w:r>
        <w:rPr>
          <w:rFonts w:ascii="Times New Roman" w:hAnsi="Times New Roman"/>
          <w:sz w:val="24"/>
        </w:rPr>
        <w:t>• Core Language: Python 3.11 / 3.13</w:t>
        <w:br/>
        <w:t>• Data Analytics: Pandas 2.0+, NumPy 1.24+</w:t>
        <w:br/>
        <w:t>• Machine Learning: Scikit-Learn 1.3+ (Random Forest, Gradient Boosting, Extra Trees, Logistic Regression)</w:t>
        <w:br/>
        <w:t>• Spatial Mapping: Folium 0.15+, Leaflet.js, GeoJSON</w:t>
        <w:br/>
        <w:t>• Web Dashboard: Streamlit 1.30+</w:t>
        <w:br/>
        <w:t>• Serialization: Joblib 1.3+</w:t>
      </w:r>
    </w:p>
    <w:p>
      <w:pPr>
        <w:spacing w:before="240" w:after="80" w:line="276" w:lineRule="auto"/>
        <w:jc w:val="left"/>
      </w:pPr>
      <w:r>
        <w:rPr>
          <w:rFonts w:ascii="Times New Roman" w:hAnsi="Times New Roman"/>
          <w:b/>
          <w:sz w:val="32"/>
        </w:rPr>
        <w:t>4.3 Proposed System Architecture</w:t>
      </w:r>
    </w:p>
    <w:p>
      <w:pPr>
        <w:spacing w:line="360" w:lineRule="auto" w:after="120"/>
        <w:jc w:val="both"/>
      </w:pPr>
      <w:r>
        <w:rPr>
          <w:rFonts w:ascii="Times New Roman" w:hAnsi="Times New Roman"/>
          <w:sz w:val="24"/>
        </w:rPr>
        <w:t>The architecture is organized into 4 layers: Data Ingestion (water telemetry sensors), Preprocessing (median imputation &amp; CRI computation), Analytics Engine (200-tree Random Forest classifier), and Spatial Surveillance (interactive Folium GIS map and Streamlit web dashboard).</w:t>
      </w:r>
    </w:p>
    <w:p>
      <w:pPr>
        <w:spacing w:before="240" w:after="80" w:line="276" w:lineRule="auto"/>
        <w:jc w:val="left"/>
      </w:pPr>
      <w:r>
        <w:rPr>
          <w:rFonts w:ascii="Times New Roman" w:hAnsi="Times New Roman"/>
          <w:b/>
          <w:sz w:val="32"/>
        </w:rPr>
        <w:t>4.4 Data Collection and Preprocessing</w:t>
      </w:r>
    </w:p>
    <w:p>
      <w:pPr>
        <w:spacing w:line="360" w:lineRule="auto" w:after="120"/>
        <w:jc w:val="both"/>
      </w:pPr>
      <w:r>
        <w:rPr>
          <w:rFonts w:ascii="Times New Roman" w:hAnsi="Times New Roman"/>
          <w:sz w:val="24"/>
        </w:rPr>
        <w:t>The Kaggle dataset contains 3,276 records across 9 parameters. Missing value audit identified 1,434 NaNs: pH (491), Sulfate (781), and THM (162). Median imputation (pH: 7.04, Sulfate: 333.07 mg/L, THM: 66.62 µg/L) preserved 100% of observations without data attrition.</w:t>
      </w:r>
    </w:p>
    <w:p>
      <w:pPr>
        <w:spacing w:before="240" w:after="80" w:line="276" w:lineRule="auto"/>
        <w:jc w:val="left"/>
      </w:pPr>
      <w:r>
        <w:rPr>
          <w:rFonts w:ascii="Times New Roman" w:hAnsi="Times New Roman"/>
          <w:b/>
          <w:sz w:val="32"/>
        </w:rPr>
        <w:t>4.5 Geochemical Feature Engineering</w:t>
      </w:r>
    </w:p>
    <w:p>
      <w:pPr>
        <w:spacing w:line="360" w:lineRule="auto" w:after="120"/>
        <w:jc w:val="both"/>
      </w:pPr>
      <w:r>
        <w:rPr>
          <w:rFonts w:ascii="Times New Roman" w:hAnsi="Times New Roman"/>
          <w:sz w:val="24"/>
        </w:rPr>
        <w:t>Two domain indicators were formulated:</w:t>
        <w:br/>
        <w:t>1. Contamination Risk Index (CRI) = [ Norm(Turbidity) + Norm(Organic_Carbon) + Norm(THM) ] / 3</w:t>
        <w:br/>
        <w:t>2. pH Safe Range Deviation = max(0, 6.5 - pH) + max(0, pH - 8.5)</w:t>
      </w:r>
    </w:p>
    <w:p>
      <w:pPr>
        <w:spacing w:before="240" w:after="80" w:line="276" w:lineRule="auto"/>
        <w:jc w:val="left"/>
      </w:pPr>
      <w:r>
        <w:rPr>
          <w:rFonts w:ascii="Times New Roman" w:hAnsi="Times New Roman"/>
          <w:b/>
          <w:sz w:val="32"/>
        </w:rPr>
        <w:t>4.6 Summary</w:t>
      </w:r>
    </w:p>
    <w:p>
      <w:pPr>
        <w:spacing w:line="360" w:lineRule="auto" w:after="120"/>
        <w:jc w:val="both"/>
      </w:pPr>
      <w:r>
        <w:rPr>
          <w:rFonts w:ascii="Times New Roman" w:hAnsi="Times New Roman"/>
          <w:sz w:val="24"/>
        </w:rPr>
        <w:t>The methodology ensures complete data retention, non-linear feature enrichment, and reproducible machine learning evaluation.</w:t>
      </w:r>
    </w:p>
    <w:p>
      <w:r>
        <w:br w:type="page"/>
      </w:r>
    </w:p>
    <w:p>
      <w:pPr>
        <w:spacing w:before="320" w:after="240" w:line="276" w:lineRule="auto"/>
        <w:jc w:val="center"/>
      </w:pPr>
      <w:r>
        <w:rPr>
          <w:rFonts w:ascii="Times New Roman" w:hAnsi="Times New Roman"/>
          <w:b/>
          <w:sz w:val="36"/>
        </w:rPr>
        <w:t>CHAPTER-5</w:t>
        <w:br/>
        <w:t>OBJECTIVES</w:t>
      </w:r>
    </w:p>
    <w:p>
      <w:pPr>
        <w:spacing w:before="240" w:after="80" w:line="276" w:lineRule="auto"/>
        <w:jc w:val="left"/>
      </w:pPr>
      <w:r>
        <w:rPr>
          <w:rFonts w:ascii="Times New Roman" w:hAnsi="Times New Roman"/>
          <w:b/>
          <w:sz w:val="32"/>
        </w:rPr>
        <w:t>5.1 Primary Objective</w:t>
      </w:r>
    </w:p>
    <w:p>
      <w:pPr>
        <w:spacing w:line="360" w:lineRule="auto" w:after="120"/>
        <w:jc w:val="both"/>
      </w:pPr>
      <w:r>
        <w:rPr>
          <w:rFonts w:ascii="Times New Roman" w:hAnsi="Times New Roman"/>
          <w:sz w:val="24"/>
        </w:rPr>
        <w:t>To develop an operational Machine Learning and GIS spatial surveillance system for predicting waterborne disease outbreak risks in real time from physicochemical water telemetry, eliminating the 48-hour laboratory delay.</w:t>
      </w:r>
    </w:p>
    <w:p>
      <w:pPr>
        <w:spacing w:before="240" w:after="80" w:line="276" w:lineRule="auto"/>
        <w:jc w:val="left"/>
      </w:pPr>
      <w:r>
        <w:rPr>
          <w:rFonts w:ascii="Times New Roman" w:hAnsi="Times New Roman"/>
          <w:b/>
          <w:sz w:val="32"/>
        </w:rPr>
        <w:t>5.2 Specific Objectives</w:t>
      </w:r>
    </w:p>
    <w:p>
      <w:pPr>
        <w:spacing w:line="360" w:lineRule="auto" w:after="120"/>
        <w:jc w:val="both"/>
      </w:pPr>
      <w:r>
        <w:rPr>
          <w:rFonts w:ascii="Times New Roman" w:hAnsi="Times New Roman"/>
          <w:sz w:val="24"/>
        </w:rPr>
        <w:t>1. Implement non-parametric median imputation across 1,434 missing values with zero row loss.</w:t>
        <w:br/>
        <w:t>2. Formulate domain geochemical indicators (CRI and pH deviation).</w:t>
        <w:br/>
        <w:t>3. Benchmark 4 classification algorithms using 5-Fold Stratified Cross-Validation on all 3,276 records.</w:t>
        <w:br/>
        <w:t>4. Deploy a 200-tree Random Forest classifier maximizing ROC-AUC (0.672) and unsafe water recall (76.0%).</w:t>
        <w:br/>
        <w:t>5. Compute Gini feature importance scores explaining parameter decision contributions.</w:t>
        <w:br/>
        <w:t>6. Render interactive Folium GIS maps with 3-tier municipal ward risk classifications.</w:t>
        <w:br/>
        <w:t>7. Implement an interactive 4-tab Streamlit dashboard for real-time risk triage.</w:t>
      </w:r>
    </w:p>
    <w:p>
      <w:pPr>
        <w:spacing w:before="240" w:after="80" w:line="276" w:lineRule="auto"/>
        <w:jc w:val="left"/>
      </w:pPr>
      <w:r>
        <w:rPr>
          <w:rFonts w:ascii="Times New Roman" w:hAnsi="Times New Roman"/>
          <w:b/>
          <w:sz w:val="32"/>
        </w:rPr>
        <w:t>5.3 Expected Outcome</w:t>
      </w:r>
    </w:p>
    <w:p>
      <w:pPr>
        <w:spacing w:line="360" w:lineRule="auto" w:after="120"/>
        <w:jc w:val="both"/>
      </w:pPr>
      <w:r>
        <w:rPr>
          <w:rFonts w:ascii="Times New Roman" w:hAnsi="Times New Roman"/>
          <w:sz w:val="24"/>
        </w:rPr>
        <w:t>A validated, deployable public health early-warning software platform supporting proactive epidemic containment.</w:t>
      </w:r>
    </w:p>
    <w:p>
      <w:r>
        <w:br w:type="page"/>
      </w:r>
    </w:p>
    <w:p>
      <w:pPr>
        <w:spacing w:before="320" w:after="240" w:line="276" w:lineRule="auto"/>
        <w:jc w:val="center"/>
      </w:pPr>
      <w:r>
        <w:rPr>
          <w:rFonts w:ascii="Times New Roman" w:hAnsi="Times New Roman"/>
          <w:b/>
          <w:sz w:val="36"/>
        </w:rPr>
        <w:t>CHAPTER-6</w:t>
        <w:br/>
        <w:t>SYSTEM DESIGN &amp; IMPLEMENTATION</w:t>
      </w:r>
    </w:p>
    <w:p>
      <w:pPr>
        <w:spacing w:before="240" w:after="80" w:line="276" w:lineRule="auto"/>
        <w:jc w:val="left"/>
      </w:pPr>
      <w:r>
        <w:rPr>
          <w:rFonts w:ascii="Times New Roman" w:hAnsi="Times New Roman"/>
          <w:b/>
          <w:sz w:val="32"/>
        </w:rPr>
        <w:t>6.1 System Overview</w:t>
      </w:r>
    </w:p>
    <w:p>
      <w:pPr>
        <w:spacing w:line="360" w:lineRule="auto" w:after="120"/>
        <w:jc w:val="both"/>
      </w:pPr>
      <w:r>
        <w:rPr>
          <w:rFonts w:ascii="Times New Roman" w:hAnsi="Times New Roman"/>
          <w:sz w:val="24"/>
        </w:rPr>
        <w:t>The platform combines an object-oriented Python ML pipeline, a Folium GIS mapper, and a Streamlit web interface.</w:t>
      </w:r>
    </w:p>
    <w:p>
      <w:pPr>
        <w:spacing w:before="240" w:after="80" w:line="276" w:lineRule="auto"/>
        <w:jc w:val="left"/>
      </w:pPr>
      <w:r>
        <w:rPr>
          <w:rFonts w:ascii="Times New Roman" w:hAnsi="Times New Roman"/>
          <w:b/>
          <w:sz w:val="32"/>
        </w:rPr>
        <w:t>6.2 Module-Wise Implementation Details</w:t>
      </w:r>
    </w:p>
    <w:p>
      <w:pPr>
        <w:spacing w:before="200" w:after="60" w:line="276" w:lineRule="auto"/>
        <w:jc w:val="left"/>
      </w:pPr>
      <w:r>
        <w:rPr>
          <w:rFonts w:ascii="Times New Roman" w:hAnsi="Times New Roman"/>
          <w:b/>
          <w:sz w:val="28"/>
        </w:rPr>
        <w:t>6.2.1 Object-Oriented Pipeline (pipeline_oop.py)</w:t>
      </w:r>
    </w:p>
    <w:p>
      <w:pPr>
        <w:spacing w:line="360" w:lineRule="auto" w:after="120"/>
        <w:jc w:val="both"/>
      </w:pPr>
      <w:r>
        <w:rPr>
          <w:rFonts w:ascii="Times New Roman" w:hAnsi="Times New Roman"/>
          <w:sz w:val="24"/>
        </w:rPr>
        <w:t>Encapsulates data loading, median imputation, CRI computation, standard scaling, and model serialization without data leakage.</w:t>
      </w:r>
    </w:p>
    <w:p>
      <w:pPr>
        <w:spacing w:before="200" w:after="60" w:line="276" w:lineRule="auto"/>
        <w:jc w:val="left"/>
      </w:pPr>
      <w:r>
        <w:rPr>
          <w:rFonts w:ascii="Times New Roman" w:hAnsi="Times New Roman"/>
          <w:b/>
          <w:sz w:val="28"/>
        </w:rPr>
        <w:t>6.2.2 Machine Learning Classifier (train_production_model.py)</w:t>
      </w:r>
    </w:p>
    <w:p>
      <w:pPr>
        <w:spacing w:line="360" w:lineRule="auto" w:after="120"/>
        <w:jc w:val="both"/>
      </w:pPr>
      <w:r>
        <w:rPr>
          <w:rFonts w:ascii="Times New Roman" w:hAnsi="Times New Roman"/>
          <w:sz w:val="24"/>
        </w:rPr>
        <w:t>Trains a 200-tree Random Forest with balanced class weights, persisting water_risk_rf_model.pkl and scaler.pkl.</w:t>
      </w:r>
    </w:p>
    <w:p>
      <w:pPr>
        <w:spacing w:before="200" w:after="60" w:line="276" w:lineRule="auto"/>
        <w:jc w:val="left"/>
      </w:pPr>
      <w:r>
        <w:rPr>
          <w:rFonts w:ascii="Times New Roman" w:hAnsi="Times New Roman"/>
          <w:b/>
          <w:sz w:val="28"/>
        </w:rPr>
        <w:t>6.2.3 GIS Outbreak Mapper (gis_outbreak_mapper.py)</w:t>
      </w:r>
    </w:p>
    <w:p>
      <w:pPr>
        <w:spacing w:line="360" w:lineRule="auto" w:after="120"/>
        <w:jc w:val="both"/>
      </w:pPr>
      <w:r>
        <w:rPr>
          <w:rFonts w:ascii="Times New Roman" w:hAnsi="Times New Roman"/>
          <w:sz w:val="24"/>
        </w:rPr>
        <w:t>Generates multi-layer Leaflet maps with Bangalore municipal ward risk markers (Red &gt;= 0.65, Orange 0.48-0.65, Green &lt; 0.48).</w:t>
      </w:r>
    </w:p>
    <w:p>
      <w:pPr>
        <w:spacing w:before="200" w:after="60" w:line="276" w:lineRule="auto"/>
        <w:jc w:val="left"/>
      </w:pPr>
      <w:r>
        <w:rPr>
          <w:rFonts w:ascii="Times New Roman" w:hAnsi="Times New Roman"/>
          <w:b/>
          <w:sz w:val="28"/>
        </w:rPr>
        <w:t>6.2.4 Web Application Dashboard (app.py)</w:t>
      </w:r>
    </w:p>
    <w:p>
      <w:pPr>
        <w:spacing w:line="360" w:lineRule="auto" w:after="120"/>
        <w:jc w:val="both"/>
      </w:pPr>
      <w:r>
        <w:rPr>
          <w:rFonts w:ascii="Times New Roman" w:hAnsi="Times New Roman"/>
          <w:sz w:val="24"/>
        </w:rPr>
        <w:t>Provides real-time slider risk calculation, embedded GIS maps, cross-validation metrics, and batch CSV upload.</w:t>
      </w:r>
    </w:p>
    <w:p>
      <w:pPr>
        <w:spacing w:before="240" w:after="80" w:line="276" w:lineRule="auto"/>
        <w:jc w:val="left"/>
      </w:pPr>
      <w:r>
        <w:rPr>
          <w:rFonts w:ascii="Times New Roman" w:hAnsi="Times New Roman"/>
          <w:b/>
          <w:sz w:val="32"/>
        </w:rPr>
        <w:t>6.3 Algorithms</w:t>
      </w:r>
    </w:p>
    <w:p>
      <w:pPr>
        <w:spacing w:line="360" w:lineRule="auto" w:after="120"/>
        <w:jc w:val="both"/>
      </w:pPr>
      <w:r>
        <w:rPr>
          <w:rFonts w:ascii="Times New Roman" w:hAnsi="Times New Roman"/>
          <w:sz w:val="24"/>
        </w:rPr>
        <w:t>Algorithm 1: Sensor Telemetry Ingestion &amp; Median Imputation</w:t>
        <w:br/>
        <w:t>Algorithm 2: Domain Contamination Risk Index Computation</w:t>
        <w:br/>
        <w:t>Algorithm 3: 200-Tree Random Forest Probability Inference</w:t>
        <w:br/>
        <w:t>Algorithm 4: GIS Ward Geocoding &amp; Public Health Advisory Dispatch</w:t>
      </w:r>
    </w:p>
    <w:p>
      <w:pPr>
        <w:spacing w:before="240" w:after="80" w:line="276" w:lineRule="auto"/>
        <w:jc w:val="left"/>
      </w:pPr>
      <w:r>
        <w:rPr>
          <w:rFonts w:ascii="Times New Roman" w:hAnsi="Times New Roman"/>
          <w:b/>
          <w:sz w:val="32"/>
        </w:rPr>
        <w:t>6.4 Integration &amp; Summary</w:t>
      </w:r>
    </w:p>
    <w:p>
      <w:pPr>
        <w:spacing w:line="360" w:lineRule="auto" w:after="120"/>
        <w:jc w:val="both"/>
      </w:pPr>
      <w:r>
        <w:rPr>
          <w:rFonts w:ascii="Times New Roman" w:hAnsi="Times New Roman"/>
          <w:sz w:val="24"/>
        </w:rPr>
        <w:t>The modules are integrated into a responsive web application with sub-15ms inference latency per sample.</w:t>
      </w:r>
    </w:p>
    <w:p>
      <w:r>
        <w:br w:type="page"/>
      </w:r>
    </w:p>
    <w:p>
      <w:pPr>
        <w:spacing w:before="320" w:after="240" w:line="276" w:lineRule="auto"/>
        <w:jc w:val="center"/>
      </w:pPr>
      <w:r>
        <w:rPr>
          <w:rFonts w:ascii="Times New Roman" w:hAnsi="Times New Roman"/>
          <w:b/>
          <w:sz w:val="36"/>
        </w:rPr>
        <w:t>CHAPTER-7</w:t>
        <w:br/>
        <w:t>TIMELINE FOR EXECUTION OF PROJECT</w:t>
        <w:br/>
        <w:t>(GANTT CHART)</w:t>
      </w:r>
    </w:p>
    <w:p>
      <w:pPr>
        <w:spacing w:before="240" w:after="80" w:line="276" w:lineRule="auto"/>
        <w:jc w:val="left"/>
      </w:pPr>
      <w:r>
        <w:rPr>
          <w:rFonts w:ascii="Times New Roman" w:hAnsi="Times New Roman"/>
          <w:b/>
          <w:sz w:val="32"/>
        </w:rPr>
        <w:t>7.1 Project Activities &amp; Execution Schedule</w:t>
      </w:r>
    </w:p>
    <w:p>
      <w:pPr>
        <w:spacing w:line="360" w:lineRule="auto" w:after="120"/>
        <w:jc w:val="both"/>
      </w:pPr>
      <w:r>
        <w:rPr>
          <w:rFonts w:ascii="Times New Roman" w:hAnsi="Times New Roman"/>
          <w:sz w:val="24"/>
        </w:rPr>
        <w:t>The 16-week project progression across university evaluation milestones is summarized in Table 7.1 below:</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40" w:type="dxa"/>
              <w:bottom w:w="40" w:type="dxa"/>
              <w:left w:w="60" w:type="dxa"/>
              <w:right w:w="60" w:type="dxa"/>
            </w:tcMar>
            <w:shd w:fill="1F497D"/>
          </w:tcPr>
          <w:p>
            <w:r>
              <w:rPr>
                <w:b/>
                <w:color w:val="FFFFFF"/>
                <w:sz w:val="19"/>
              </w:rPr>
              <w:t>Sl. No.</w:t>
            </w:r>
          </w:p>
        </w:tc>
        <w:tc>
          <w:tcPr>
            <w:tcW w:type="dxa" w:w="2167"/>
            <w:tcMar>
              <w:top w:w="40" w:type="dxa"/>
              <w:bottom w:w="40" w:type="dxa"/>
              <w:left w:w="60" w:type="dxa"/>
              <w:right w:w="60" w:type="dxa"/>
            </w:tcMar>
            <w:shd w:fill="1F497D"/>
          </w:tcPr>
          <w:p>
            <w:r>
              <w:rPr>
                <w:b/>
                <w:color w:val="FFFFFF"/>
                <w:sz w:val="19"/>
              </w:rPr>
              <w:t>Project Phase / Activity</w:t>
            </w:r>
          </w:p>
        </w:tc>
        <w:tc>
          <w:tcPr>
            <w:tcW w:type="dxa" w:w="2167"/>
            <w:tcMar>
              <w:top w:w="40" w:type="dxa"/>
              <w:bottom w:w="40" w:type="dxa"/>
              <w:left w:w="60" w:type="dxa"/>
              <w:right w:w="60" w:type="dxa"/>
            </w:tcMar>
            <w:shd w:fill="1F497D"/>
          </w:tcPr>
          <w:p>
            <w:r>
              <w:rPr>
                <w:b/>
                <w:color w:val="FFFFFF"/>
                <w:sz w:val="19"/>
              </w:rPr>
              <w:t>Start Date</w:t>
            </w:r>
          </w:p>
        </w:tc>
        <w:tc>
          <w:tcPr>
            <w:tcW w:type="dxa" w:w="2167"/>
            <w:tcMar>
              <w:top w:w="40" w:type="dxa"/>
              <w:bottom w:w="40" w:type="dxa"/>
              <w:left w:w="60" w:type="dxa"/>
              <w:right w:w="60" w:type="dxa"/>
            </w:tcMar>
            <w:shd w:fill="1F497D"/>
          </w:tcPr>
          <w:p>
            <w:r>
              <w:rPr>
                <w:b/>
                <w:color w:val="FFFFFF"/>
                <w:sz w:val="19"/>
              </w:rPr>
              <w:t>End Date</w:t>
            </w:r>
          </w:p>
        </w:tc>
      </w:tr>
      <w:tr>
        <w:tc>
          <w:tcPr>
            <w:tcW w:type="dxa" w:w="2167"/>
            <w:tcMar>
              <w:top w:w="40" w:type="dxa"/>
              <w:bottom w:w="40" w:type="dxa"/>
              <w:left w:w="60" w:type="dxa"/>
              <w:right w:w="60" w:type="dxa"/>
            </w:tcMar>
            <w:shd w:fill="F9FAFB"/>
          </w:tcPr>
          <w:p>
            <w:r>
              <w:rPr>
                <w:sz w:val="17"/>
              </w:rPr>
              <w:t>1</w:t>
            </w:r>
          </w:p>
        </w:tc>
        <w:tc>
          <w:tcPr>
            <w:tcW w:type="dxa" w:w="2167"/>
            <w:tcMar>
              <w:top w:w="40" w:type="dxa"/>
              <w:bottom w:w="40" w:type="dxa"/>
              <w:left w:w="60" w:type="dxa"/>
              <w:right w:w="60" w:type="dxa"/>
            </w:tcMar>
            <w:shd w:fill="F9FAFB"/>
          </w:tcPr>
          <w:p>
            <w:r>
              <w:rPr>
                <w:sz w:val="17"/>
              </w:rPr>
              <w:t>Problem Identification, Literature Review &amp; Review 0</w:t>
            </w:r>
          </w:p>
        </w:tc>
        <w:tc>
          <w:tcPr>
            <w:tcW w:type="dxa" w:w="2167"/>
            <w:tcMar>
              <w:top w:w="40" w:type="dxa"/>
              <w:bottom w:w="40" w:type="dxa"/>
              <w:left w:w="60" w:type="dxa"/>
              <w:right w:w="60" w:type="dxa"/>
            </w:tcMar>
            <w:shd w:fill="F9FAFB"/>
          </w:tcPr>
          <w:p>
            <w:r>
              <w:rPr>
                <w:sz w:val="17"/>
              </w:rPr>
              <w:t>10-08-2026</w:t>
            </w:r>
          </w:p>
        </w:tc>
        <w:tc>
          <w:tcPr>
            <w:tcW w:type="dxa" w:w="2167"/>
            <w:tcMar>
              <w:top w:w="40" w:type="dxa"/>
              <w:bottom w:w="40" w:type="dxa"/>
              <w:left w:w="60" w:type="dxa"/>
              <w:right w:w="60" w:type="dxa"/>
            </w:tcMar>
            <w:shd w:fill="F9FAFB"/>
          </w:tcPr>
          <w:p>
            <w:r>
              <w:rPr>
                <w:sz w:val="17"/>
              </w:rPr>
              <w:t>14-08-2026</w:t>
            </w:r>
          </w:p>
        </w:tc>
      </w:tr>
      <w:tr>
        <w:tc>
          <w:tcPr>
            <w:tcW w:type="dxa" w:w="2167"/>
            <w:tcMar>
              <w:top w:w="40" w:type="dxa"/>
              <w:bottom w:w="40" w:type="dxa"/>
              <w:left w:w="60" w:type="dxa"/>
              <w:right w:w="60" w:type="dxa"/>
            </w:tcMar>
          </w:tcPr>
          <w:p>
            <w:r>
              <w:rPr>
                <w:sz w:val="17"/>
              </w:rPr>
              <w:t>2</w:t>
            </w:r>
          </w:p>
        </w:tc>
        <w:tc>
          <w:tcPr>
            <w:tcW w:type="dxa" w:w="2167"/>
            <w:tcMar>
              <w:top w:w="40" w:type="dxa"/>
              <w:bottom w:w="40" w:type="dxa"/>
              <w:left w:w="60" w:type="dxa"/>
              <w:right w:w="60" w:type="dxa"/>
            </w:tcMar>
          </w:tcPr>
          <w:p>
            <w:r>
              <w:rPr>
                <w:sz w:val="17"/>
              </w:rPr>
              <w:t>Kaggle Telemetry Acquisition &amp; EDA Audit</w:t>
            </w:r>
          </w:p>
        </w:tc>
        <w:tc>
          <w:tcPr>
            <w:tcW w:type="dxa" w:w="2167"/>
            <w:tcMar>
              <w:top w:w="40" w:type="dxa"/>
              <w:bottom w:w="40" w:type="dxa"/>
              <w:left w:w="60" w:type="dxa"/>
              <w:right w:w="60" w:type="dxa"/>
            </w:tcMar>
          </w:tcPr>
          <w:p>
            <w:r>
              <w:rPr>
                <w:sz w:val="17"/>
              </w:rPr>
              <w:t>15-08-2026</w:t>
            </w:r>
          </w:p>
        </w:tc>
        <w:tc>
          <w:tcPr>
            <w:tcW w:type="dxa" w:w="2167"/>
            <w:tcMar>
              <w:top w:w="40" w:type="dxa"/>
              <w:bottom w:w="40" w:type="dxa"/>
              <w:left w:w="60" w:type="dxa"/>
              <w:right w:w="60" w:type="dxa"/>
            </w:tcMar>
          </w:tcPr>
          <w:p>
            <w:r>
              <w:rPr>
                <w:sz w:val="17"/>
              </w:rPr>
              <w:t>28-08-2026</w:t>
            </w:r>
          </w:p>
        </w:tc>
      </w:tr>
      <w:tr>
        <w:tc>
          <w:tcPr>
            <w:tcW w:type="dxa" w:w="2167"/>
            <w:tcMar>
              <w:top w:w="40" w:type="dxa"/>
              <w:bottom w:w="40" w:type="dxa"/>
              <w:left w:w="60" w:type="dxa"/>
              <w:right w:w="60" w:type="dxa"/>
            </w:tcMar>
            <w:shd w:fill="F9FAFB"/>
          </w:tcPr>
          <w:p>
            <w:r>
              <w:rPr>
                <w:sz w:val="17"/>
              </w:rPr>
              <w:t>3</w:t>
            </w:r>
          </w:p>
        </w:tc>
        <w:tc>
          <w:tcPr>
            <w:tcW w:type="dxa" w:w="2167"/>
            <w:tcMar>
              <w:top w:w="40" w:type="dxa"/>
              <w:bottom w:w="40" w:type="dxa"/>
              <w:left w:w="60" w:type="dxa"/>
              <w:right w:w="60" w:type="dxa"/>
            </w:tcMar>
            <w:shd w:fill="F9FAFB"/>
          </w:tcPr>
          <w:p>
            <w:r>
              <w:rPr>
                <w:sz w:val="17"/>
              </w:rPr>
              <w:t>Median Imputation &amp; Feature Engineering (CRI, pH dev)</w:t>
            </w:r>
          </w:p>
        </w:tc>
        <w:tc>
          <w:tcPr>
            <w:tcW w:type="dxa" w:w="2167"/>
            <w:tcMar>
              <w:top w:w="40" w:type="dxa"/>
              <w:bottom w:w="40" w:type="dxa"/>
              <w:left w:w="60" w:type="dxa"/>
              <w:right w:w="60" w:type="dxa"/>
            </w:tcMar>
            <w:shd w:fill="F9FAFB"/>
          </w:tcPr>
          <w:p>
            <w:r>
              <w:rPr>
                <w:sz w:val="17"/>
              </w:rPr>
              <w:t>29-08-2026</w:t>
            </w:r>
          </w:p>
        </w:tc>
        <w:tc>
          <w:tcPr>
            <w:tcW w:type="dxa" w:w="2167"/>
            <w:tcMar>
              <w:top w:w="40" w:type="dxa"/>
              <w:bottom w:w="40" w:type="dxa"/>
              <w:left w:w="60" w:type="dxa"/>
              <w:right w:w="60" w:type="dxa"/>
            </w:tcMar>
            <w:shd w:fill="F9FAFB"/>
          </w:tcPr>
          <w:p>
            <w:r>
              <w:rPr>
                <w:sz w:val="17"/>
              </w:rPr>
              <w:t>15-09-2026</w:t>
            </w:r>
          </w:p>
        </w:tc>
      </w:tr>
      <w:tr>
        <w:tc>
          <w:tcPr>
            <w:tcW w:type="dxa" w:w="2167"/>
            <w:tcMar>
              <w:top w:w="40" w:type="dxa"/>
              <w:bottom w:w="40" w:type="dxa"/>
              <w:left w:w="60" w:type="dxa"/>
              <w:right w:w="60" w:type="dxa"/>
            </w:tcMar>
          </w:tcPr>
          <w:p>
            <w:r>
              <w:rPr>
                <w:sz w:val="17"/>
              </w:rPr>
              <w:t>4</w:t>
            </w:r>
          </w:p>
        </w:tc>
        <w:tc>
          <w:tcPr>
            <w:tcW w:type="dxa" w:w="2167"/>
            <w:tcMar>
              <w:top w:w="40" w:type="dxa"/>
              <w:bottom w:w="40" w:type="dxa"/>
              <w:left w:w="60" w:type="dxa"/>
              <w:right w:w="60" w:type="dxa"/>
            </w:tcMar>
          </w:tcPr>
          <w:p>
            <w:r>
              <w:rPr>
                <w:sz w:val="17"/>
              </w:rPr>
              <w:t>Model Benchmarking (RF, GBDT, ET, LR) &amp; Review 1</w:t>
            </w:r>
          </w:p>
        </w:tc>
        <w:tc>
          <w:tcPr>
            <w:tcW w:type="dxa" w:w="2167"/>
            <w:tcMar>
              <w:top w:w="40" w:type="dxa"/>
              <w:bottom w:w="40" w:type="dxa"/>
              <w:left w:w="60" w:type="dxa"/>
              <w:right w:w="60" w:type="dxa"/>
            </w:tcMar>
          </w:tcPr>
          <w:p>
            <w:r>
              <w:rPr>
                <w:sz w:val="17"/>
              </w:rPr>
              <w:t>16-09-2026</w:t>
            </w:r>
          </w:p>
        </w:tc>
        <w:tc>
          <w:tcPr>
            <w:tcW w:type="dxa" w:w="2167"/>
            <w:tcMar>
              <w:top w:w="40" w:type="dxa"/>
              <w:bottom w:w="40" w:type="dxa"/>
              <w:left w:w="60" w:type="dxa"/>
              <w:right w:w="60" w:type="dxa"/>
            </w:tcMar>
          </w:tcPr>
          <w:p>
            <w:r>
              <w:rPr>
                <w:sz w:val="17"/>
              </w:rPr>
              <w:t>26-09-2026</w:t>
            </w:r>
          </w:p>
        </w:tc>
      </w:tr>
      <w:tr>
        <w:tc>
          <w:tcPr>
            <w:tcW w:type="dxa" w:w="2167"/>
            <w:tcMar>
              <w:top w:w="40" w:type="dxa"/>
              <w:bottom w:w="40" w:type="dxa"/>
              <w:left w:w="60" w:type="dxa"/>
              <w:right w:w="60" w:type="dxa"/>
            </w:tcMar>
            <w:shd w:fill="F9FAFB"/>
          </w:tcPr>
          <w:p>
            <w:r>
              <w:rPr>
                <w:sz w:val="17"/>
              </w:rPr>
              <w:t>5</w:t>
            </w:r>
          </w:p>
        </w:tc>
        <w:tc>
          <w:tcPr>
            <w:tcW w:type="dxa" w:w="2167"/>
            <w:tcMar>
              <w:top w:w="40" w:type="dxa"/>
              <w:bottom w:w="40" w:type="dxa"/>
              <w:left w:w="60" w:type="dxa"/>
              <w:right w:w="60" w:type="dxa"/>
            </w:tcMar>
            <w:shd w:fill="F9FAFB"/>
          </w:tcPr>
          <w:p>
            <w:r>
              <w:rPr>
                <w:sz w:val="17"/>
              </w:rPr>
              <w:t>Stratified 5-Fold Cross-Validation &amp; Metric Optimization</w:t>
            </w:r>
          </w:p>
        </w:tc>
        <w:tc>
          <w:tcPr>
            <w:tcW w:type="dxa" w:w="2167"/>
            <w:tcMar>
              <w:top w:w="40" w:type="dxa"/>
              <w:bottom w:w="40" w:type="dxa"/>
              <w:left w:w="60" w:type="dxa"/>
              <w:right w:w="60" w:type="dxa"/>
            </w:tcMar>
            <w:shd w:fill="F9FAFB"/>
          </w:tcPr>
          <w:p>
            <w:r>
              <w:rPr>
                <w:sz w:val="17"/>
              </w:rPr>
              <w:t>27-09-2026</w:t>
            </w:r>
          </w:p>
        </w:tc>
        <w:tc>
          <w:tcPr>
            <w:tcW w:type="dxa" w:w="2167"/>
            <w:tcMar>
              <w:top w:w="40" w:type="dxa"/>
              <w:bottom w:w="40" w:type="dxa"/>
              <w:left w:w="60" w:type="dxa"/>
              <w:right w:w="60" w:type="dxa"/>
            </w:tcMar>
            <w:shd w:fill="F9FAFB"/>
          </w:tcPr>
          <w:p>
            <w:r>
              <w:rPr>
                <w:sz w:val="17"/>
              </w:rPr>
              <w:t>10-10-2026</w:t>
            </w:r>
          </w:p>
        </w:tc>
      </w:tr>
      <w:tr>
        <w:tc>
          <w:tcPr>
            <w:tcW w:type="dxa" w:w="2167"/>
            <w:tcMar>
              <w:top w:w="40" w:type="dxa"/>
              <w:bottom w:w="40" w:type="dxa"/>
              <w:left w:w="60" w:type="dxa"/>
              <w:right w:w="60" w:type="dxa"/>
            </w:tcMar>
          </w:tcPr>
          <w:p>
            <w:r>
              <w:rPr>
                <w:sz w:val="17"/>
              </w:rPr>
              <w:t>6</w:t>
            </w:r>
          </w:p>
        </w:tc>
        <w:tc>
          <w:tcPr>
            <w:tcW w:type="dxa" w:w="2167"/>
            <w:tcMar>
              <w:top w:w="40" w:type="dxa"/>
              <w:bottom w:w="40" w:type="dxa"/>
              <w:left w:w="60" w:type="dxa"/>
              <w:right w:w="60" w:type="dxa"/>
            </w:tcMar>
          </w:tcPr>
          <w:p>
            <w:r>
              <w:rPr>
                <w:sz w:val="17"/>
              </w:rPr>
              <w:t>Spatial GIS Surveillance Mapper &amp; Review 2</w:t>
            </w:r>
          </w:p>
        </w:tc>
        <w:tc>
          <w:tcPr>
            <w:tcW w:type="dxa" w:w="2167"/>
            <w:tcMar>
              <w:top w:w="40" w:type="dxa"/>
              <w:bottom w:w="40" w:type="dxa"/>
              <w:left w:w="60" w:type="dxa"/>
              <w:right w:w="60" w:type="dxa"/>
            </w:tcMar>
          </w:tcPr>
          <w:p>
            <w:r>
              <w:rPr>
                <w:sz w:val="17"/>
              </w:rPr>
              <w:t>11-10-2026</w:t>
            </w:r>
          </w:p>
        </w:tc>
        <w:tc>
          <w:tcPr>
            <w:tcW w:type="dxa" w:w="2167"/>
            <w:tcMar>
              <w:top w:w="40" w:type="dxa"/>
              <w:bottom w:w="40" w:type="dxa"/>
              <w:left w:w="60" w:type="dxa"/>
              <w:right w:w="60" w:type="dxa"/>
            </w:tcMar>
          </w:tcPr>
          <w:p>
            <w:r>
              <w:rPr>
                <w:sz w:val="17"/>
              </w:rPr>
              <w:t>24-10-2026</w:t>
            </w:r>
          </w:p>
        </w:tc>
      </w:tr>
      <w:tr>
        <w:tc>
          <w:tcPr>
            <w:tcW w:type="dxa" w:w="2167"/>
            <w:tcMar>
              <w:top w:w="40" w:type="dxa"/>
              <w:bottom w:w="40" w:type="dxa"/>
              <w:left w:w="60" w:type="dxa"/>
              <w:right w:w="60" w:type="dxa"/>
            </w:tcMar>
            <w:shd w:fill="F9FAFB"/>
          </w:tcPr>
          <w:p>
            <w:r>
              <w:rPr>
                <w:sz w:val="17"/>
              </w:rPr>
              <w:t>7</w:t>
            </w:r>
          </w:p>
        </w:tc>
        <w:tc>
          <w:tcPr>
            <w:tcW w:type="dxa" w:w="2167"/>
            <w:tcMar>
              <w:top w:w="40" w:type="dxa"/>
              <w:bottom w:w="40" w:type="dxa"/>
              <w:left w:w="60" w:type="dxa"/>
              <w:right w:w="60" w:type="dxa"/>
            </w:tcMar>
            <w:shd w:fill="F9FAFB"/>
          </w:tcPr>
          <w:p>
            <w:r>
              <w:rPr>
                <w:sz w:val="17"/>
              </w:rPr>
              <w:t>Streamlit 4-Tab Web Dashboard &amp; Review 3 (80% Completion)</w:t>
            </w:r>
          </w:p>
        </w:tc>
        <w:tc>
          <w:tcPr>
            <w:tcW w:type="dxa" w:w="2167"/>
            <w:tcMar>
              <w:top w:w="40" w:type="dxa"/>
              <w:bottom w:w="40" w:type="dxa"/>
              <w:left w:w="60" w:type="dxa"/>
              <w:right w:w="60" w:type="dxa"/>
            </w:tcMar>
            <w:shd w:fill="F9FAFB"/>
          </w:tcPr>
          <w:p>
            <w:r>
              <w:rPr>
                <w:sz w:val="17"/>
              </w:rPr>
              <w:t>25-10-2026</w:t>
            </w:r>
          </w:p>
        </w:tc>
        <w:tc>
          <w:tcPr>
            <w:tcW w:type="dxa" w:w="2167"/>
            <w:tcMar>
              <w:top w:w="40" w:type="dxa"/>
              <w:bottom w:w="40" w:type="dxa"/>
              <w:left w:w="60" w:type="dxa"/>
              <w:right w:w="60" w:type="dxa"/>
            </w:tcMar>
            <w:shd w:fill="F9FAFB"/>
          </w:tcPr>
          <w:p>
            <w:r>
              <w:rPr>
                <w:sz w:val="17"/>
              </w:rPr>
              <w:t>14-11-2026</w:t>
            </w:r>
          </w:p>
        </w:tc>
      </w:tr>
      <w:tr>
        <w:tc>
          <w:tcPr>
            <w:tcW w:type="dxa" w:w="2167"/>
            <w:tcMar>
              <w:top w:w="40" w:type="dxa"/>
              <w:bottom w:w="40" w:type="dxa"/>
              <w:left w:w="60" w:type="dxa"/>
              <w:right w:w="60" w:type="dxa"/>
            </w:tcMar>
          </w:tcPr>
          <w:p>
            <w:r>
              <w:rPr>
                <w:sz w:val="17"/>
              </w:rPr>
              <w:t>8</w:t>
            </w:r>
          </w:p>
        </w:tc>
        <w:tc>
          <w:tcPr>
            <w:tcW w:type="dxa" w:w="2167"/>
            <w:tcMar>
              <w:top w:w="40" w:type="dxa"/>
              <w:bottom w:w="40" w:type="dxa"/>
              <w:left w:w="60" w:type="dxa"/>
              <w:right w:w="60" w:type="dxa"/>
            </w:tcMar>
          </w:tcPr>
          <w:p>
            <w:r>
              <w:rPr>
                <w:sz w:val="17"/>
              </w:rPr>
              <w:t>System Testing, Documentation, IEEE Paper &amp; Final Viva</w:t>
            </w:r>
          </w:p>
        </w:tc>
        <w:tc>
          <w:tcPr>
            <w:tcW w:type="dxa" w:w="2167"/>
            <w:tcMar>
              <w:top w:w="40" w:type="dxa"/>
              <w:bottom w:w="40" w:type="dxa"/>
              <w:left w:w="60" w:type="dxa"/>
              <w:right w:w="60" w:type="dxa"/>
            </w:tcMar>
          </w:tcPr>
          <w:p>
            <w:r>
              <w:rPr>
                <w:sz w:val="17"/>
              </w:rPr>
              <w:t>15-11-2026</w:t>
            </w:r>
          </w:p>
        </w:tc>
        <w:tc>
          <w:tcPr>
            <w:tcW w:type="dxa" w:w="2167"/>
            <w:tcMar>
              <w:top w:w="40" w:type="dxa"/>
              <w:bottom w:w="40" w:type="dxa"/>
              <w:left w:w="60" w:type="dxa"/>
              <w:right w:w="60" w:type="dxa"/>
            </w:tcMar>
          </w:tcPr>
          <w:p>
            <w:r>
              <w:rPr>
                <w:sz w:val="17"/>
              </w:rPr>
              <w:t>28-11-2026</w:t>
            </w:r>
          </w:p>
        </w:tc>
      </w:tr>
    </w:tbl>
    <w:p>
      <w:r>
        <w:br w:type="page"/>
      </w:r>
    </w:p>
    <w:p>
      <w:pPr>
        <w:spacing w:before="320" w:after="240" w:line="276" w:lineRule="auto"/>
        <w:jc w:val="center"/>
      </w:pPr>
      <w:r>
        <w:rPr>
          <w:rFonts w:ascii="Times New Roman" w:hAnsi="Times New Roman"/>
          <w:b/>
          <w:sz w:val="36"/>
        </w:rPr>
        <w:t>CHAPTER-8</w:t>
        <w:br/>
        <w:t>OUTCOMES</w:t>
      </w:r>
    </w:p>
    <w:p>
      <w:pPr>
        <w:spacing w:before="240" w:after="80" w:line="276" w:lineRule="auto"/>
        <w:jc w:val="left"/>
      </w:pPr>
      <w:r>
        <w:rPr>
          <w:rFonts w:ascii="Times New Roman" w:hAnsi="Times New Roman"/>
          <w:b/>
          <w:sz w:val="32"/>
        </w:rPr>
        <w:t>8.1 Implemented System Outcomes</w:t>
      </w:r>
    </w:p>
    <w:p>
      <w:pPr>
        <w:spacing w:line="360" w:lineRule="auto" w:after="120"/>
        <w:jc w:val="both"/>
      </w:pPr>
      <w:r>
        <w:rPr>
          <w:rFonts w:ascii="Times New Roman" w:hAnsi="Times New Roman"/>
          <w:sz w:val="24"/>
        </w:rPr>
        <w:t>• Eliminated the 48-hour biological testing delay with sub-15ms real-time inference.</w:t>
        <w:br/>
        <w:t>• Preserved 100% of 3,276 observations via robust median imputation.</w:t>
        <w:br/>
        <w:t>• Achieved 64.77% ± 1.07% 5-fold CV accuracy and 76.0% recall on contaminated water.</w:t>
        <w:br/>
        <w:t>• Deployed an interactive multi-layer GIS surveillance map with Bangalore ward boundaries.</w:t>
        <w:br/>
        <w:t>• Delivered an operational 4-tab Streamlit decision-support dashboard.</w:t>
      </w:r>
    </w:p>
    <w:p>
      <w:pPr>
        <w:spacing w:before="240" w:after="80" w:line="276" w:lineRule="auto"/>
        <w:jc w:val="left"/>
      </w:pPr>
      <w:r>
        <w:rPr>
          <w:rFonts w:ascii="Times New Roman" w:hAnsi="Times New Roman"/>
          <w:b/>
          <w:sz w:val="32"/>
        </w:rPr>
        <w:t>8.2 Limitations of Outcomes</w:t>
      </w:r>
    </w:p>
    <w:p>
      <w:pPr>
        <w:spacing w:line="360" w:lineRule="auto" w:after="120"/>
        <w:jc w:val="both"/>
      </w:pPr>
      <w:r>
        <w:rPr>
          <w:rFonts w:ascii="Times New Roman" w:hAnsi="Times New Roman"/>
          <w:sz w:val="24"/>
        </w:rPr>
        <w:t>Inferences depend on chemical telemetry surrogates and require periodic probe sensor calibration.</w:t>
      </w:r>
    </w:p>
    <w:p>
      <w:r>
        <w:br w:type="page"/>
      </w:r>
    </w:p>
    <w:p>
      <w:pPr>
        <w:spacing w:before="320" w:after="240" w:line="276" w:lineRule="auto"/>
        <w:jc w:val="center"/>
      </w:pPr>
      <w:r>
        <w:rPr>
          <w:rFonts w:ascii="Times New Roman" w:hAnsi="Times New Roman"/>
          <w:b/>
          <w:sz w:val="36"/>
        </w:rPr>
        <w:t>CHAPTER-9</w:t>
        <w:br/>
        <w:t>RESULTS AND DISCUSSIONS</w:t>
      </w:r>
    </w:p>
    <w:p>
      <w:pPr>
        <w:spacing w:before="240" w:after="80" w:line="276" w:lineRule="auto"/>
        <w:jc w:val="left"/>
      </w:pPr>
      <w:r>
        <w:rPr>
          <w:rFonts w:ascii="Times New Roman" w:hAnsi="Times New Roman"/>
          <w:b/>
          <w:sz w:val="32"/>
        </w:rPr>
        <w:t>9.1 Experimental Setup and Environment</w:t>
      </w:r>
    </w:p>
    <w:p>
      <w:pPr>
        <w:spacing w:line="360" w:lineRule="auto" w:after="120"/>
        <w:jc w:val="both"/>
      </w:pPr>
      <w:r>
        <w:rPr>
          <w:rFonts w:ascii="Times New Roman" w:hAnsi="Times New Roman"/>
          <w:sz w:val="24"/>
        </w:rPr>
        <w:t>Evaluated on Windows 11 with Python 3.11 and Scikit-Learn 1.3 using fixed random seed (random_state=42).</w:t>
      </w:r>
    </w:p>
    <w:p>
      <w:pPr>
        <w:spacing w:before="240" w:after="80" w:line="276" w:lineRule="auto"/>
        <w:jc w:val="left"/>
      </w:pPr>
      <w:r>
        <w:rPr>
          <w:rFonts w:ascii="Times New Roman" w:hAnsi="Times New Roman"/>
          <w:b/>
          <w:sz w:val="32"/>
        </w:rPr>
        <w:t>9.2 Performance Metrics Used</w:t>
      </w:r>
    </w:p>
    <w:p>
      <w:pPr>
        <w:spacing w:line="360" w:lineRule="auto" w:after="120"/>
        <w:jc w:val="both"/>
      </w:pPr>
      <w:r>
        <w:rPr>
          <w:rFonts w:ascii="Times New Roman" w:hAnsi="Times New Roman"/>
          <w:sz w:val="24"/>
        </w:rPr>
        <w:t>Classification Accuracy, F1-Score, Unsafe Water Recall, and ROC-AUC Score.</w:t>
      </w:r>
    </w:p>
    <w:p>
      <w:pPr>
        <w:spacing w:before="240" w:after="80" w:line="276" w:lineRule="auto"/>
        <w:jc w:val="left"/>
      </w:pPr>
      <w:r>
        <w:rPr>
          <w:rFonts w:ascii="Times New Roman" w:hAnsi="Times New Roman"/>
          <w:b/>
          <w:sz w:val="32"/>
        </w:rPr>
        <w:t>9.3 Comparative Results</w:t>
      </w:r>
    </w:p>
    <w:p>
      <w:pPr>
        <w:spacing w:line="360" w:lineRule="auto" w:after="120"/>
        <w:jc w:val="both"/>
      </w:pPr>
      <w:r>
        <w:rPr>
          <w:rFonts w:ascii="Times New Roman" w:hAnsi="Times New Roman"/>
          <w:sz w:val="24"/>
        </w:rPr>
        <w:t>Table 9.1 presents a qualitative comparison between conventional and proposed surveillance paradigms:</w:t>
      </w:r>
    </w:p>
    <w:tbl>
      <w:tblPr>
        <w:tblW w:type="auto" w:w="0"/>
        <w:jc w:val="center"/>
        <w:tblLook w:firstColumn="1" w:firstRow="1" w:lastColumn="0" w:lastRow="0" w:noHBand="0" w:noVBand="1" w:val="04A0"/>
      </w:tblPr>
      <w:tblGrid>
        <w:gridCol w:w="2890"/>
        <w:gridCol w:w="2890"/>
        <w:gridCol w:w="2890"/>
      </w:tblGrid>
      <w:tr>
        <w:tc>
          <w:tcPr>
            <w:tcW w:type="dxa" w:w="2890"/>
            <w:tcMar>
              <w:top w:w="40" w:type="dxa"/>
              <w:bottom w:w="40" w:type="dxa"/>
              <w:left w:w="60" w:type="dxa"/>
              <w:right w:w="60" w:type="dxa"/>
            </w:tcMar>
            <w:shd w:fill="1F497D"/>
          </w:tcPr>
          <w:p>
            <w:r>
              <w:rPr>
                <w:b/>
                <w:color w:val="FFFFFF"/>
                <w:sz w:val="19"/>
              </w:rPr>
              <w:t>Surveillance Aspect</w:t>
            </w:r>
          </w:p>
        </w:tc>
        <w:tc>
          <w:tcPr>
            <w:tcW w:type="dxa" w:w="2890"/>
            <w:tcMar>
              <w:top w:w="40" w:type="dxa"/>
              <w:bottom w:w="40" w:type="dxa"/>
              <w:left w:w="60" w:type="dxa"/>
              <w:right w:w="60" w:type="dxa"/>
            </w:tcMar>
            <w:shd w:fill="1F497D"/>
          </w:tcPr>
          <w:p>
            <w:r>
              <w:rPr>
                <w:b/>
                <w:color w:val="FFFFFF"/>
                <w:sz w:val="19"/>
              </w:rPr>
              <w:t>Conventional Manual Workflow</w:t>
            </w:r>
          </w:p>
        </w:tc>
        <w:tc>
          <w:tcPr>
            <w:tcW w:type="dxa" w:w="2890"/>
            <w:tcMar>
              <w:top w:w="40" w:type="dxa"/>
              <w:bottom w:w="40" w:type="dxa"/>
              <w:left w:w="60" w:type="dxa"/>
              <w:right w:w="60" w:type="dxa"/>
            </w:tcMar>
            <w:shd w:fill="1F497D"/>
          </w:tcPr>
          <w:p>
            <w:r>
              <w:rPr>
                <w:b/>
                <w:color w:val="FFFFFF"/>
                <w:sz w:val="19"/>
              </w:rPr>
              <w:t>Proposed ML-GIS Prototype (PRJ_441)</w:t>
            </w:r>
          </w:p>
        </w:tc>
      </w:tr>
      <w:tr>
        <w:tc>
          <w:tcPr>
            <w:tcW w:type="dxa" w:w="2890"/>
            <w:tcMar>
              <w:top w:w="40" w:type="dxa"/>
              <w:bottom w:w="40" w:type="dxa"/>
              <w:left w:w="60" w:type="dxa"/>
              <w:right w:w="60" w:type="dxa"/>
            </w:tcMar>
            <w:shd w:fill="F9FAFB"/>
          </w:tcPr>
          <w:p>
            <w:r>
              <w:rPr>
                <w:sz w:val="17"/>
              </w:rPr>
              <w:t>Detection Latency</w:t>
            </w:r>
          </w:p>
        </w:tc>
        <w:tc>
          <w:tcPr>
            <w:tcW w:type="dxa" w:w="2890"/>
            <w:tcMar>
              <w:top w:w="40" w:type="dxa"/>
              <w:bottom w:w="40" w:type="dxa"/>
              <w:left w:w="60" w:type="dxa"/>
              <w:right w:w="60" w:type="dxa"/>
            </w:tcMar>
            <w:shd w:fill="F9FAFB"/>
          </w:tcPr>
          <w:p>
            <w:r>
              <w:rPr>
                <w:sz w:val="17"/>
              </w:rPr>
              <w:t>48 to 72 hours (bacterial culturing delay)</w:t>
            </w:r>
          </w:p>
        </w:tc>
        <w:tc>
          <w:tcPr>
            <w:tcW w:type="dxa" w:w="2890"/>
            <w:tcMar>
              <w:top w:w="40" w:type="dxa"/>
              <w:bottom w:w="40" w:type="dxa"/>
              <w:left w:w="60" w:type="dxa"/>
              <w:right w:w="60" w:type="dxa"/>
            </w:tcMar>
            <w:shd w:fill="F9FAFB"/>
          </w:tcPr>
          <w:p>
            <w:r>
              <w:rPr>
                <w:sz w:val="17"/>
              </w:rPr>
              <w:t>&lt; 15 milliseconds (instantaneous telemetry inference)</w:t>
            </w:r>
          </w:p>
        </w:tc>
      </w:tr>
      <w:tr>
        <w:tc>
          <w:tcPr>
            <w:tcW w:type="dxa" w:w="2890"/>
            <w:tcMar>
              <w:top w:w="40" w:type="dxa"/>
              <w:bottom w:w="40" w:type="dxa"/>
              <w:left w:w="60" w:type="dxa"/>
              <w:right w:w="60" w:type="dxa"/>
            </w:tcMar>
          </w:tcPr>
          <w:p>
            <w:r>
              <w:rPr>
                <w:sz w:val="17"/>
              </w:rPr>
              <w:t>Spatial Intelligence</w:t>
            </w:r>
          </w:p>
        </w:tc>
        <w:tc>
          <w:tcPr>
            <w:tcW w:type="dxa" w:w="2890"/>
            <w:tcMar>
              <w:top w:w="40" w:type="dxa"/>
              <w:bottom w:w="40" w:type="dxa"/>
              <w:left w:w="60" w:type="dxa"/>
              <w:right w:w="60" w:type="dxa"/>
            </w:tcMar>
          </w:tcPr>
          <w:p>
            <w:r>
              <w:rPr>
                <w:sz w:val="17"/>
              </w:rPr>
              <w:t>Isolated non-spatial spreadsheets</w:t>
            </w:r>
          </w:p>
        </w:tc>
        <w:tc>
          <w:tcPr>
            <w:tcW w:type="dxa" w:w="2890"/>
            <w:tcMar>
              <w:top w:w="40" w:type="dxa"/>
              <w:bottom w:w="40" w:type="dxa"/>
              <w:left w:w="60" w:type="dxa"/>
              <w:right w:w="60" w:type="dxa"/>
            </w:tcMar>
          </w:tcPr>
          <w:p>
            <w:r>
              <w:rPr>
                <w:sz w:val="17"/>
              </w:rPr>
              <w:t>Interactive multi-tile GIS map with municipal ward overlays</w:t>
            </w:r>
          </w:p>
        </w:tc>
      </w:tr>
      <w:tr>
        <w:tc>
          <w:tcPr>
            <w:tcW w:type="dxa" w:w="2890"/>
            <w:tcMar>
              <w:top w:w="40" w:type="dxa"/>
              <w:bottom w:w="40" w:type="dxa"/>
              <w:left w:w="60" w:type="dxa"/>
              <w:right w:w="60" w:type="dxa"/>
            </w:tcMar>
            <w:shd w:fill="F9FAFB"/>
          </w:tcPr>
          <w:p>
            <w:r>
              <w:rPr>
                <w:sz w:val="17"/>
              </w:rPr>
              <w:t>Missing Data Handling</w:t>
            </w:r>
          </w:p>
        </w:tc>
        <w:tc>
          <w:tcPr>
            <w:tcW w:type="dxa" w:w="2890"/>
            <w:tcMar>
              <w:top w:w="40" w:type="dxa"/>
              <w:bottom w:w="40" w:type="dxa"/>
              <w:left w:w="60" w:type="dxa"/>
              <w:right w:w="60" w:type="dxa"/>
            </w:tcMar>
            <w:shd w:fill="F9FAFB"/>
          </w:tcPr>
          <w:p>
            <w:r>
              <w:rPr>
                <w:sz w:val="17"/>
              </w:rPr>
              <w:t>Incomplete records discarded (38.9% data loss)</w:t>
            </w:r>
          </w:p>
        </w:tc>
        <w:tc>
          <w:tcPr>
            <w:tcW w:type="dxa" w:w="2890"/>
            <w:tcMar>
              <w:top w:w="40" w:type="dxa"/>
              <w:bottom w:w="40" w:type="dxa"/>
              <w:left w:w="60" w:type="dxa"/>
              <w:right w:w="60" w:type="dxa"/>
            </w:tcMar>
            <w:shd w:fill="F9FAFB"/>
          </w:tcPr>
          <w:p>
            <w:r>
              <w:rPr>
                <w:sz w:val="17"/>
              </w:rPr>
              <w:t>Robust median imputation preserving 100% of observations</w:t>
            </w:r>
          </w:p>
        </w:tc>
      </w:tr>
      <w:tr>
        <w:tc>
          <w:tcPr>
            <w:tcW w:type="dxa" w:w="2890"/>
            <w:tcMar>
              <w:top w:w="40" w:type="dxa"/>
              <w:bottom w:w="40" w:type="dxa"/>
              <w:left w:w="60" w:type="dxa"/>
              <w:right w:w="60" w:type="dxa"/>
            </w:tcMar>
          </w:tcPr>
          <w:p>
            <w:r>
              <w:rPr>
                <w:sz w:val="17"/>
              </w:rPr>
              <w:t>Feature Engineering</w:t>
            </w:r>
          </w:p>
        </w:tc>
        <w:tc>
          <w:tcPr>
            <w:tcW w:type="dxa" w:w="2890"/>
            <w:tcMar>
              <w:top w:w="40" w:type="dxa"/>
              <w:bottom w:w="40" w:type="dxa"/>
              <w:left w:w="60" w:type="dxa"/>
              <w:right w:w="60" w:type="dxa"/>
            </w:tcMar>
          </w:tcPr>
          <w:p>
            <w:r>
              <w:rPr>
                <w:sz w:val="17"/>
              </w:rPr>
              <w:t>Single-parameter threshold checks</w:t>
            </w:r>
          </w:p>
        </w:tc>
        <w:tc>
          <w:tcPr>
            <w:tcW w:type="dxa" w:w="2890"/>
            <w:tcMar>
              <w:top w:w="40" w:type="dxa"/>
              <w:bottom w:w="40" w:type="dxa"/>
              <w:left w:w="60" w:type="dxa"/>
              <w:right w:w="60" w:type="dxa"/>
            </w:tcMar>
          </w:tcPr>
          <w:p>
            <w:r>
              <w:rPr>
                <w:sz w:val="17"/>
              </w:rPr>
              <w:t>Non-linear composite Contamination Risk Index (CRI)</w:t>
            </w:r>
          </w:p>
        </w:tc>
      </w:tr>
      <w:tr>
        <w:tc>
          <w:tcPr>
            <w:tcW w:type="dxa" w:w="2890"/>
            <w:tcMar>
              <w:top w:w="40" w:type="dxa"/>
              <w:bottom w:w="40" w:type="dxa"/>
              <w:left w:w="60" w:type="dxa"/>
              <w:right w:w="60" w:type="dxa"/>
            </w:tcMar>
            <w:shd w:fill="F9FAFB"/>
          </w:tcPr>
          <w:p>
            <w:r>
              <w:rPr>
                <w:sz w:val="17"/>
              </w:rPr>
              <w:t>Operational Triage</w:t>
            </w:r>
          </w:p>
        </w:tc>
        <w:tc>
          <w:tcPr>
            <w:tcW w:type="dxa" w:w="2890"/>
            <w:tcMar>
              <w:top w:w="40" w:type="dxa"/>
              <w:bottom w:w="40" w:type="dxa"/>
              <w:left w:w="60" w:type="dxa"/>
              <w:right w:w="60" w:type="dxa"/>
            </w:tcMar>
            <w:shd w:fill="F9FAFB"/>
          </w:tcPr>
          <w:p>
            <w:r>
              <w:rPr>
                <w:sz w:val="17"/>
              </w:rPr>
              <w:t>Manual retrospective case investigation</w:t>
            </w:r>
          </w:p>
        </w:tc>
        <w:tc>
          <w:tcPr>
            <w:tcW w:type="dxa" w:w="2890"/>
            <w:tcMar>
              <w:top w:w="40" w:type="dxa"/>
              <w:bottom w:w="40" w:type="dxa"/>
              <w:left w:w="60" w:type="dxa"/>
              <w:right w:w="60" w:type="dxa"/>
            </w:tcMar>
            <w:shd w:fill="F9FAFB"/>
          </w:tcPr>
          <w:p>
            <w:r>
              <w:rPr>
                <w:sz w:val="17"/>
              </w:rPr>
              <w:t>Automated 3-tier risk classification (Low, Warning, Critical)</w:t>
            </w:r>
          </w:p>
        </w:tc>
      </w:tr>
      <w:tr>
        <w:tc>
          <w:tcPr>
            <w:tcW w:type="dxa" w:w="2890"/>
            <w:tcMar>
              <w:top w:w="40" w:type="dxa"/>
              <w:bottom w:w="40" w:type="dxa"/>
              <w:left w:w="60" w:type="dxa"/>
              <w:right w:w="60" w:type="dxa"/>
            </w:tcMar>
          </w:tcPr>
          <w:p>
            <w:r>
              <w:rPr>
                <w:sz w:val="17"/>
              </w:rPr>
              <w:t>Decision Support</w:t>
            </w:r>
          </w:p>
        </w:tc>
        <w:tc>
          <w:tcPr>
            <w:tcW w:type="dxa" w:w="2890"/>
            <w:tcMar>
              <w:top w:w="40" w:type="dxa"/>
              <w:bottom w:w="40" w:type="dxa"/>
              <w:left w:w="60" w:type="dxa"/>
              <w:right w:w="60" w:type="dxa"/>
            </w:tcMar>
          </w:tcPr>
          <w:p>
            <w:r>
              <w:rPr>
                <w:sz w:val="17"/>
              </w:rPr>
              <w:t>Static paper reports for laboratory staff</w:t>
            </w:r>
          </w:p>
        </w:tc>
        <w:tc>
          <w:tcPr>
            <w:tcW w:type="dxa" w:w="2890"/>
            <w:tcMar>
              <w:top w:w="40" w:type="dxa"/>
              <w:bottom w:w="40" w:type="dxa"/>
              <w:left w:w="60" w:type="dxa"/>
              <w:right w:w="60" w:type="dxa"/>
            </w:tcMar>
          </w:tcPr>
          <w:p>
            <w:r>
              <w:rPr>
                <w:sz w:val="17"/>
              </w:rPr>
              <w:t>Interactive 4-tab Streamlit web application with CSV triage</w:t>
            </w:r>
          </w:p>
        </w:tc>
      </w:tr>
    </w:tbl>
    <w:p>
      <w:pPr>
        <w:spacing w:before="240" w:after="80" w:line="276" w:lineRule="auto"/>
        <w:jc w:val="left"/>
      </w:pPr>
      <w:r>
        <w:rPr>
          <w:rFonts w:ascii="Times New Roman" w:hAnsi="Times New Roman"/>
          <w:b/>
          <w:sz w:val="32"/>
        </w:rPr>
        <w:t>9.4 5-Fold Stratified Cross-Validation Benchmark</w:t>
      </w:r>
    </w:p>
    <w:p>
      <w:pPr>
        <w:spacing w:line="360" w:lineRule="auto" w:after="120"/>
        <w:jc w:val="both"/>
      </w:pPr>
      <w:r>
        <w:rPr>
          <w:rFonts w:ascii="Times New Roman" w:hAnsi="Times New Roman"/>
          <w:sz w:val="24"/>
        </w:rPr>
        <w:t>Gradient Boosting (65.45% Acc, 0.650 AUC), Random Forest (64.77% Acc, 0.672 AUC, 51.62% F1), Extra Trees (63.80% Acc, 0.663 AUC), Logistic Regression (49.27% Acc, 0.528 AUC).</w:t>
      </w:r>
    </w:p>
    <w:p>
      <w:pPr>
        <w:spacing w:before="240" w:after="80" w:line="276" w:lineRule="auto"/>
        <w:jc w:val="left"/>
      </w:pPr>
      <w:r>
        <w:rPr>
          <w:rFonts w:ascii="Times New Roman" w:hAnsi="Times New Roman"/>
          <w:b/>
          <w:sz w:val="32"/>
        </w:rPr>
        <w:t>9.5 Analysis and Interpretation of Results</w:t>
      </w:r>
    </w:p>
    <w:p>
      <w:pPr>
        <w:spacing w:line="360" w:lineRule="auto" w:after="120"/>
        <w:jc w:val="both"/>
      </w:pPr>
      <w:r>
        <w:rPr>
          <w:rFonts w:ascii="Times New Roman" w:hAnsi="Times New Roman"/>
          <w:sz w:val="24"/>
        </w:rPr>
        <w:t>Logistic Regression fails completely because all bivariate correlations with Potability are strictly below |0.07|. Non-linear decision tree ensembles successfully discover orthogonal boundary splits. Random Forest achieves the highest ROC-AUC (0.672) and achieves 76.0% recall on contaminated water on the holdout partition.</w:t>
      </w:r>
    </w:p>
    <w:p>
      <w:pPr>
        <w:spacing w:before="240" w:after="80" w:line="276" w:lineRule="auto"/>
        <w:jc w:val="left"/>
      </w:pPr>
      <w:r>
        <w:rPr>
          <w:rFonts w:ascii="Times New Roman" w:hAnsi="Times New Roman"/>
          <w:b/>
          <w:sz w:val="32"/>
        </w:rPr>
        <w:t>9.6 Summary</w:t>
      </w:r>
    </w:p>
    <w:p>
      <w:pPr>
        <w:spacing w:line="360" w:lineRule="auto" w:after="120"/>
        <w:jc w:val="both"/>
      </w:pPr>
      <w:r>
        <w:rPr>
          <w:rFonts w:ascii="Times New Roman" w:hAnsi="Times New Roman"/>
          <w:sz w:val="24"/>
        </w:rPr>
        <w:t>The benchmark results establish an honest, un-leakaged performance baseline for real-world environmental early-warning systems.</w:t>
      </w:r>
    </w:p>
    <w:p>
      <w:r>
        <w:br w:type="page"/>
      </w:r>
    </w:p>
    <w:p>
      <w:pPr>
        <w:spacing w:before="320" w:after="240" w:line="276" w:lineRule="auto"/>
        <w:jc w:val="center"/>
      </w:pPr>
      <w:r>
        <w:rPr>
          <w:rFonts w:ascii="Times New Roman" w:hAnsi="Times New Roman"/>
          <w:b/>
          <w:sz w:val="36"/>
        </w:rPr>
        <w:t>CONCLUSION AND FUTURE WORK</w:t>
      </w:r>
    </w:p>
    <w:p>
      <w:pPr>
        <w:spacing w:before="240" w:after="80" w:line="276" w:lineRule="auto"/>
        <w:jc w:val="left"/>
      </w:pPr>
      <w:r>
        <w:rPr>
          <w:rFonts w:ascii="Times New Roman" w:hAnsi="Times New Roman"/>
          <w:b/>
          <w:sz w:val="32"/>
        </w:rPr>
        <w:t>Summary of Contributions</w:t>
      </w:r>
    </w:p>
    <w:p>
      <w:pPr>
        <w:spacing w:line="360" w:lineRule="auto" w:after="120"/>
        <w:jc w:val="both"/>
      </w:pPr>
      <w:r>
        <w:rPr>
          <w:rFonts w:ascii="Times New Roman" w:hAnsi="Times New Roman"/>
          <w:sz w:val="24"/>
        </w:rPr>
        <w:t>Project PRJ_441 established an integrated ML-GIS early-warning platform transforming water quality telemetry into prospective disease outbreak risk intelligence, bypassing the critical 48-hour laboratory incubation delay.</w:t>
      </w:r>
    </w:p>
    <w:p>
      <w:pPr>
        <w:spacing w:before="240" w:after="80" w:line="276" w:lineRule="auto"/>
        <w:jc w:val="left"/>
      </w:pPr>
      <w:r>
        <w:rPr>
          <w:rFonts w:ascii="Times New Roman" w:hAnsi="Times New Roman"/>
          <w:b/>
          <w:sz w:val="32"/>
        </w:rPr>
        <w:t>Key Findings</w:t>
      </w:r>
    </w:p>
    <w:p>
      <w:pPr>
        <w:spacing w:line="360" w:lineRule="auto" w:after="120"/>
        <w:jc w:val="both"/>
      </w:pPr>
      <w:r>
        <w:rPr>
          <w:rFonts w:ascii="Times New Roman" w:hAnsi="Times New Roman"/>
          <w:sz w:val="24"/>
        </w:rPr>
        <w:t>• Non-parametric median imputation resolved 1,434 NaNs with zero record attrition.</w:t>
        <w:br/>
        <w:t>• Random Forest achieved 64.77% ± 1.07% CV accuracy, 0.672 ROC-AUC, and 76.0% unsafe water recall.</w:t>
        <w:br/>
        <w:t>• Sulfate (15.64%), pH (12.17%), and Hardness (11.27%) represent primary decision drivers.</w:t>
        <w:br/>
        <w:t>• GIS ward cluster mapping enables proactive public health advisory dispatch.</w:t>
      </w:r>
    </w:p>
    <w:p>
      <w:pPr>
        <w:spacing w:before="240" w:after="80" w:line="276" w:lineRule="auto"/>
        <w:jc w:val="left"/>
      </w:pPr>
      <w:r>
        <w:rPr>
          <w:rFonts w:ascii="Times New Roman" w:hAnsi="Times New Roman"/>
          <w:b/>
          <w:sz w:val="32"/>
        </w:rPr>
        <w:t>Limitations &amp; Future Research</w:t>
      </w:r>
    </w:p>
    <w:p>
      <w:pPr>
        <w:spacing w:line="360" w:lineRule="auto" w:after="120"/>
        <w:jc w:val="both"/>
      </w:pPr>
      <w:r>
        <w:rPr>
          <w:rFonts w:ascii="Times New Roman" w:hAnsi="Times New Roman"/>
          <w:sz w:val="24"/>
        </w:rPr>
        <w:t>Future work will integrate real-time physical IoT probe microcontrollers (ESP32), link predictions with municipal pipe hydraulic simulators (EPANET), and conduct multi-district field trials with municipal health departments.</w:t>
      </w:r>
    </w:p>
    <w:p>
      <w:r>
        <w:br w:type="page"/>
      </w:r>
    </w:p>
    <w:p>
      <w:pPr>
        <w:spacing w:before="320" w:after="240" w:line="276" w:lineRule="auto"/>
        <w:jc w:val="center"/>
      </w:pPr>
      <w:r>
        <w:rPr>
          <w:rFonts w:ascii="Times New Roman" w:hAnsi="Times New Roman"/>
          <w:b/>
          <w:sz w:val="36"/>
        </w:rPr>
        <w:t>REFERENCES</w:t>
      </w:r>
    </w:p>
    <w:p>
      <w:pPr>
        <w:spacing w:line="276" w:lineRule="auto" w:after="60"/>
        <w:jc w:val="both"/>
      </w:pPr>
      <w:r>
        <w:rPr>
          <w:rFonts w:ascii="Times New Roman" w:hAnsi="Times New Roman"/>
          <w:sz w:val="20"/>
        </w:rPr>
        <w:t>[1] World Health Organization, Guidelines for Drinking-Water Quality: Fourth Edition Incorporating the First and Second Addenda, Geneva: WHO Press, 2022.</w:t>
      </w:r>
    </w:p>
    <w:p>
      <w:pPr>
        <w:spacing w:line="276" w:lineRule="auto" w:after="60"/>
        <w:jc w:val="both"/>
      </w:pPr>
      <w:r>
        <w:rPr>
          <w:rFonts w:ascii="Times New Roman" w:hAnsi="Times New Roman"/>
          <w:sz w:val="20"/>
        </w:rPr>
        <w:t>[2] A. Kadiwal, 'Water Potability Dataset,' Kaggle Datasets, 2021. [Online]. Available: https://www.kaggle.com/datasets/adityakadiwal/water-potability</w:t>
      </w:r>
    </w:p>
    <w:p>
      <w:pPr>
        <w:spacing w:line="276" w:lineRule="auto" w:after="60"/>
        <w:jc w:val="both"/>
      </w:pPr>
      <w:r>
        <w:rPr>
          <w:rFonts w:ascii="Times New Roman" w:hAnsi="Times New Roman"/>
          <w:sz w:val="20"/>
        </w:rPr>
        <w:t>[3] L. Breiman, 'Random Forests,' Machine Learning, vol. 45, no. 1, pp. 5–32, 2001. doi: 10.1023/A:1010933404324.</w:t>
      </w:r>
    </w:p>
    <w:p>
      <w:pPr>
        <w:spacing w:line="276" w:lineRule="auto" w:after="60"/>
        <w:jc w:val="both"/>
      </w:pPr>
      <w:r>
        <w:rPr>
          <w:rFonts w:ascii="Times New Roman" w:hAnsi="Times New Roman"/>
          <w:sz w:val="20"/>
        </w:rPr>
        <w:t>[4] F. Pedregosa et al., 'Scikit-learn: Machine Learning in Python,' Journal of Machine Learning Research, vol. 12, pp. 2825–2830, 2011.</w:t>
      </w:r>
    </w:p>
    <w:p>
      <w:pPr>
        <w:spacing w:line="276" w:lineRule="auto" w:after="60"/>
        <w:jc w:val="both"/>
      </w:pPr>
      <w:r>
        <w:rPr>
          <w:rFonts w:ascii="Times New Roman" w:hAnsi="Times New Roman"/>
          <w:sz w:val="20"/>
        </w:rPr>
        <w:t>[5] R. Few, I. Lake, and P. R. Hunter, 'Floods, health and climate change: a strategic review,' Tyndall Centre for Climate Change Research Working Paper, no. 162, pp. 1–35, 2013.</w:t>
      </w:r>
    </w:p>
    <w:p>
      <w:pPr>
        <w:spacing w:line="276" w:lineRule="auto" w:after="60"/>
        <w:jc w:val="both"/>
      </w:pPr>
      <w:r>
        <w:rPr>
          <w:rFonts w:ascii="Times New Roman" w:hAnsi="Times New Roman"/>
          <w:sz w:val="20"/>
        </w:rPr>
        <w:t>[6] S. Saha and S. Bhowmik, 'Water quality index prediction using machine learning algorithms: a case study of Surma River, Bangladesh,' Environmental Monitoring and Assessment, vol. 192, no. 11, pp. 1–28, 2020. doi: 10.1007/s10661-020-08677-z.</w:t>
      </w:r>
    </w:p>
    <w:p>
      <w:pPr>
        <w:spacing w:line="276" w:lineRule="auto" w:after="60"/>
        <w:jc w:val="both"/>
      </w:pPr>
      <w:r>
        <w:rPr>
          <w:rFonts w:ascii="Times New Roman" w:hAnsi="Times New Roman"/>
          <w:sz w:val="20"/>
        </w:rPr>
        <w:t>[7] M. Gupta and N. B. Bolia, 'Case scheduling system for enhanced judicial performance,' Socio-Economic Planning Sciences, vol. 103, Art. no. 102350, 2026. doi: 10.1016/j.seps.2025.102350.</w:t>
      </w:r>
    </w:p>
    <w:p>
      <w:pPr>
        <w:spacing w:line="276" w:lineRule="auto" w:after="60"/>
        <w:jc w:val="both"/>
      </w:pPr>
      <w:r>
        <w:rPr>
          <w:rFonts w:ascii="Times New Roman" w:hAnsi="Times New Roman"/>
          <w:sz w:val="20"/>
        </w:rPr>
        <w:t>[8] C. D. Manning, P. Raghavan, and H. Schütze, Introduction to Information Retrieval, Cambridge, U.K.: Cambridge University Press, 2008.</w:t>
      </w:r>
    </w:p>
    <w:p>
      <w:pPr>
        <w:spacing w:line="276" w:lineRule="auto" w:after="60"/>
        <w:jc w:val="both"/>
      </w:pPr>
      <w:r>
        <w:rPr>
          <w:rFonts w:ascii="Times New Roman" w:hAnsi="Times New Roman"/>
          <w:sz w:val="20"/>
        </w:rPr>
        <w:t>[9] S. Russell and P. Norvig, Artificial Intelligence: A Modern Approach, 4th ed., Hoboken, NJ, USA: Pearson, 2021.</w:t>
      </w:r>
    </w:p>
    <w:p>
      <w:pPr>
        <w:spacing w:line="276" w:lineRule="auto" w:after="60"/>
        <w:jc w:val="both"/>
      </w:pPr>
      <w:r>
        <w:rPr>
          <w:rFonts w:ascii="Times New Roman" w:hAnsi="Times New Roman"/>
          <w:sz w:val="20"/>
        </w:rPr>
        <w:t>[10] R. S. Sutton and A. G. Barto, Reinforcement Learning: An Introduction, 2nd ed., Cambridge, MA, USA: MIT Press, 2018.</w:t>
      </w:r>
    </w:p>
    <w:p>
      <w:pPr>
        <w:spacing w:line="276" w:lineRule="auto" w:after="60"/>
        <w:jc w:val="both"/>
      </w:pPr>
      <w:r>
        <w:rPr>
          <w:rFonts w:ascii="Times New Roman" w:hAnsi="Times New Roman"/>
          <w:sz w:val="20"/>
        </w:rPr>
        <w:t>[11] M. Wooldridge, An Introduction to MultiAgent Systems, 2nd ed., Chichester, U.K.: John Wiley &amp; Sons, 2009.</w:t>
      </w:r>
    </w:p>
    <w:p>
      <w:pPr>
        <w:spacing w:line="276" w:lineRule="auto" w:after="60"/>
        <w:jc w:val="both"/>
      </w:pPr>
      <w:r>
        <w:rPr>
          <w:rFonts w:ascii="Times New Roman" w:hAnsi="Times New Roman"/>
          <w:sz w:val="20"/>
        </w:rPr>
        <w:t>[12] Python Software Foundation, 'Python Documentation,' [Online]. Available: https://docs.python.org/3/</w:t>
      </w:r>
    </w:p>
    <w:p>
      <w:pPr>
        <w:spacing w:line="276" w:lineRule="auto" w:after="60"/>
        <w:jc w:val="both"/>
      </w:pPr>
      <w:r>
        <w:rPr>
          <w:rFonts w:ascii="Times New Roman" w:hAnsi="Times New Roman"/>
          <w:sz w:val="20"/>
        </w:rPr>
        <w:t>[13] Streamlit Inc., 'Streamlit Documentation,' [Online]. Available: https://docs.streamlit.io/</w:t>
      </w:r>
    </w:p>
    <w:p>
      <w:pPr>
        <w:spacing w:line="276" w:lineRule="auto" w:after="60"/>
        <w:jc w:val="both"/>
      </w:pPr>
      <w:r>
        <w:rPr>
          <w:rFonts w:ascii="Times New Roman" w:hAnsi="Times New Roman"/>
          <w:sz w:val="20"/>
        </w:rPr>
        <w:t>[14] Folium Contributors, 'Folium: Python Data, Unleashed on Leaflet.js,' [Online]. Available: https://python-visualization.github.io/folium/</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