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sz w:val="40"/>
        </w:rPr>
        <w:t>PRESIDENCY UNIVERSITY</w:t>
        <w:br/>
      </w:r>
      <w:r>
        <w:rPr>
          <w:b/>
          <w:sz w:val="26"/>
        </w:rPr>
        <w:t>SCHOOL OF COMPUTER SCIENCE AND ENGINEERING</w:t>
        <w:br/>
        <w:t>DEPARTMENT OF COMPUTER SCIENCE AND ENGINEERING</w:t>
        <w:br/>
        <w:t>BENGALURU, INDIA</w:t>
      </w:r>
    </w:p>
    <w:p>
      <w:pPr>
        <w:spacing w:before="800" w:after="400"/>
        <w:jc w:val="center"/>
      </w:pPr>
      <w:r>
        <w:rPr>
          <w:sz w:val="28"/>
        </w:rPr>
        <w:t>A MINI PROJECT REPORT ON</w:t>
        <w:br/>
        <w:br/>
      </w:r>
      <w:r>
        <w:rPr>
          <w:b/>
          <w:sz w:val="36"/>
        </w:rPr>
        <w:t>WATERBORNE DISEASE OUTBREAK RISK PREDICTION AND SPATIAL SURVEILLANCE SYSTEM USING MACHINE LEARNING AND GIS</w:t>
        <w:br/>
      </w:r>
      <w:r>
        <w:rPr>
          <w:b/>
          <w:sz w:val="26"/>
        </w:rPr>
        <w:br/>
        <w:t>Project ID: PRJ_441 | Course Code: CSS7102 (Mini Project)</w:t>
      </w:r>
    </w:p>
    <w:p>
      <w:pPr>
        <w:spacing w:before="800" w:after="800"/>
        <w:jc w:val="center"/>
      </w:pPr>
      <w:r>
        <w:rPr>
          <w:sz w:val="24"/>
        </w:rPr>
        <w:t>Submitted in partial fulfillment of the requirements for the award of the degree of</w:t>
        <w:br/>
      </w:r>
      <w:r>
        <w:rPr>
          <w:b/>
          <w:sz w:val="28"/>
        </w:rPr>
        <w:t>BACHELOR OF TECHNOLOGY</w:t>
        <w:br/>
        <w:t>IN</w:t>
        <w:br/>
        <w:t>COMPUTER SCIENCE AND ENGINEERING</w:t>
        <w:br/>
        <w:br/>
      </w:r>
    </w:p>
    <w:p>
      <w:pPr>
        <w:spacing w:before="400" w:after="800"/>
        <w:jc w:val="center"/>
      </w:pPr>
      <w:r>
        <w:rPr>
          <w:b/>
        </w:rPr>
        <w:t>Submitted By:</w:t>
        <w:br/>
      </w:r>
      <w:r>
        <w:t>K SRIRAM (Team Leader) [Roll No: 20211CSE0000]</w:t>
        <w:br/>
        <w:t>[Team Member 2 Name] [Roll No: 20211CSE0000]</w:t>
        <w:br/>
        <w:t>[Team Member 3 Name] [Roll No: 20211CSE0000]</w:t>
        <w:br/>
        <w:br/>
      </w:r>
      <w:r>
        <w:rPr>
          <w:b/>
        </w:rPr>
        <w:t>Under the Guidance of:</w:t>
        <w:br/>
      </w:r>
      <w:r>
        <w:t>Dr./Prof. [Project Guide Name]</w:t>
        <w:br/>
        <w:t>Assistant Professor, Dept. of CSE</w:t>
        <w:br/>
        <w:t>School of Computer Science and Engineering</w:t>
        <w:br/>
        <w:t>Presidency University, Bengaluru</w:t>
        <w:br/>
        <w:br/>
        <w:t>Academic Year: 2026-2027</w:t>
      </w:r>
    </w:p>
    <w:p>
      <w:pPr>
        <w:pageBreakBefore/>
        <w:spacing w:before="480" w:after="360"/>
        <w:jc w:val="center"/>
      </w:pPr>
      <w:r>
        <w:rPr>
          <w:b/>
          <w:sz w:val="36"/>
        </w:rPr>
        <w:t>ABSTRACT</w:t>
      </w:r>
    </w:p>
    <w:p>
      <w:pPr>
        <w:spacing w:line="360" w:lineRule="auto" w:after="120"/>
        <w:jc w:val="both"/>
      </w:pPr>
      <w:r>
        <w:rPr>
          <w:rFonts w:ascii="Times New Roman" w:hAnsi="Times New Roman"/>
          <w:color w:val="000000"/>
          <w:sz w:val="24"/>
        </w:rPr>
        <w:t>Waterborne infectious diseases, including Cholera, Typhoid fever, and acute dysentery, represent an enduring global public health hazard, resulting in more than 500,000 diarrheal fatalities annually according to the World Health Organization (WHO). The primary bottleneck in mitigating widespread community contamination is the biological laboratory culture incubation delay of 24 to 72 hours. During this critical window, contaminated municipal water continues to flow through distribution pipes and is consumed by residents, leading to severe clinical outbreak clusters before laboratory verification can be completed. This project presents the design, empirical evaluation, and operational deployment of an early-warning decision-support platform (PRJ_441) that leverages rapid physical and chemical water quality telemetry as an immediate proxy for microbiological contamination.</w:t>
      </w:r>
    </w:p>
    <w:p>
      <w:pPr>
        <w:spacing w:line="360" w:lineRule="auto" w:after="120"/>
        <w:jc w:val="both"/>
      </w:pPr>
      <w:r>
        <w:rPr>
          <w:rFonts w:ascii="Times New Roman" w:hAnsi="Times New Roman"/>
          <w:color w:val="000000"/>
          <w:sz w:val="24"/>
        </w:rPr>
        <w:t>Utilizing a benchmark dataset of 3,276 real-world laboratory water samples, the data engineering pipeline applies outlier-resistant Median Imputation across 1,434 missing values, completely eliminating data loss while avoiding outlier skewness. Two domain-engineered indices are introduced: the Contamination Risk Index (CRI)—which mathematically synthesizes normalized Turbidity, Organic Carbon, and Trihalomethanes—and the WHO pH Safe Envelope Deviation metric. Four contrasting machine learning algorithms were benchmarked via 5-Fold Stratified Cross-Validation. The results reveal that non-linear ensemble models significantly outperform linear classifiers. The primary Random Forest model achieved a statistically verified mean accuracy of 64.77% ± 1.07% with a Receiver Operating Characteristic Area Under Curve (ROC-AUC) of 0.672, decisively surpassing the naive majority-class baseline of 60.99% and corroborating published academic benchmarks for real-world water chemistry. Gini Impurity attribution identifies Sulfate (15.6%), pH (12.2%), and Hardness (11.3%) as dominant non-linear discriminators.</w:t>
      </w:r>
    </w:p>
    <w:p>
      <w:pPr>
        <w:spacing w:line="360" w:lineRule="auto" w:after="120"/>
        <w:jc w:val="both"/>
      </w:pPr>
      <w:r>
        <w:rPr>
          <w:rFonts w:ascii="Times New Roman" w:hAnsi="Times New Roman"/>
          <w:color w:val="000000"/>
          <w:sz w:val="24"/>
        </w:rPr>
        <w:t>The predictive engine is operationalized into an interactive Geographic Information System (GIS) surveillance dashboard and a real-time Streamlit web application (app.py). By mapping municipal distribution nodes into Critical (Red), Moderate (Orange), and Safe (Green) risk tiers, the system automatically translates chemical anomalies into specific suspected pathogen vectors (such as Vibrio cholerae and Salmonella typhi) and dispatches targeted municipal emergency advisories—including localized boil-water orders and secondary chlorine booster dosing—to halt disease transmission before hospital admissions surge.</w:t>
      </w:r>
    </w:p>
    <w:p>
      <w:pPr>
        <w:spacing w:before="240"/>
        <w:jc w:val="both"/>
      </w:pPr>
      <w:r>
        <w:rPr>
          <w:b/>
        </w:rPr>
        <w:t xml:space="preserve">Keywords: </w:t>
      </w:r>
      <w:r>
        <w:t>Water Potability, Disease Outbreak Risk Prediction, Random Forest, Spatial Epidemiology, Geographic Information Systems (GIS), Contamination Risk Index (CRI), Median Imputation, Early Warning Systems.</w:t>
      </w:r>
    </w:p>
    <w:p>
      <w:pPr>
        <w:pageBreakBefore/>
        <w:spacing w:before="480" w:after="360"/>
        <w:jc w:val="center"/>
      </w:pPr>
      <w:r>
        <w:rPr>
          <w:b/>
          <w:sz w:val="36"/>
        </w:rPr>
        <w:t>TABLE OF CONTENTS</w:t>
      </w:r>
    </w:p>
    <w:p>
      <w:pPr>
        <w:spacing w:before="240" w:after="80"/>
        <w:jc w:val="center"/>
      </w:pPr>
      <w:r>
        <w:rPr>
          <w:rFonts w:ascii="Times New Roman" w:hAnsi="Times New Roman"/>
          <w:b/>
          <w:color w:val="000000"/>
          <w:sz w:val="24"/>
        </w:rPr>
        <w:t>Table of Contents</w:t>
      </w:r>
    </w:p>
    <w:tbl>
      <w:tblPr>
        <w:tblW w:type="auto" w:w="0"/>
        <w:jc w:val="center"/>
        <w:tblLook w:firstColumn="1" w:firstRow="1" w:lastColumn="0" w:lastRow="0" w:noHBand="0" w:noVBand="1" w:val="04A0"/>
      </w:tblPr>
      <w:tblGrid>
        <w:gridCol w:w="2890"/>
        <w:gridCol w:w="2890"/>
        <w:gridCol w:w="2890"/>
      </w:tblGrid>
      <w:tr>
        <w:tc>
          <w:tcPr>
            <w:tcW w:type="dxa" w:w="2890"/>
            <w:shd w:fill="0F2043"/>
            <w:tcMar>
              <w:top w:w="80" w:type="dxa"/>
              <w:bottom w:w="80" w:type="dxa"/>
              <w:left w:w="120" w:type="dxa"/>
              <w:right w:w="120" w:type="dxa"/>
            </w:tcMar>
          </w:tcPr>
          <w:p>
            <w:pPr>
              <w:spacing w:line="276" w:lineRule="auto" w:after="40"/>
            </w:pPr>
            <w:r>
              <w:rPr>
                <w:b/>
                <w:color w:val="FFFFFF"/>
              </w:rPr>
              <w:t>CHAPTER NO</w:t>
            </w:r>
          </w:p>
        </w:tc>
        <w:tc>
          <w:tcPr>
            <w:tcW w:type="dxa" w:w="2890"/>
            <w:shd w:fill="0F2043"/>
            <w:tcMar>
              <w:top w:w="80" w:type="dxa"/>
              <w:bottom w:w="80" w:type="dxa"/>
              <w:left w:w="120" w:type="dxa"/>
              <w:right w:w="120" w:type="dxa"/>
            </w:tcMar>
          </w:tcPr>
          <w:p>
            <w:pPr>
              <w:spacing w:line="276" w:lineRule="auto" w:after="40"/>
            </w:pPr>
            <w:r>
              <w:rPr>
                <w:b/>
                <w:color w:val="FFFFFF"/>
              </w:rPr>
              <w:t>TITLE</w:t>
            </w:r>
          </w:p>
        </w:tc>
        <w:tc>
          <w:tcPr>
            <w:tcW w:type="dxa" w:w="2890"/>
            <w:shd w:fill="0F2043"/>
            <w:tcMar>
              <w:top w:w="80" w:type="dxa"/>
              <w:bottom w:w="80" w:type="dxa"/>
              <w:left w:w="120" w:type="dxa"/>
              <w:right w:w="120" w:type="dxa"/>
            </w:tcMar>
          </w:tcPr>
          <w:p>
            <w:pPr>
              <w:spacing w:line="276" w:lineRule="auto" w:after="40"/>
            </w:pPr>
            <w:r>
              <w:rPr>
                <w:b/>
                <w:color w:val="FFFFFF"/>
              </w:rPr>
              <w:t>PAGE NO</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ABSTRACT</w:t>
            </w:r>
          </w:p>
        </w:tc>
        <w:tc>
          <w:tcPr>
            <w:tcW w:type="dxa" w:w="2890"/>
            <w:tcMar>
              <w:top w:w="80" w:type="dxa"/>
              <w:bottom w:w="80" w:type="dxa"/>
              <w:left w:w="120" w:type="dxa"/>
              <w:right w:w="120" w:type="dxa"/>
            </w:tcMar>
          </w:tcPr>
          <w:p>
            <w:pPr>
              <w:spacing w:line="276" w:lineRule="auto" w:after="40"/>
              <w:jc w:val="center"/>
            </w:pPr>
            <w:r>
              <w:t>v</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TABLE OF CONTENTS</w:t>
            </w:r>
          </w:p>
        </w:tc>
        <w:tc>
          <w:tcPr>
            <w:tcW w:type="dxa" w:w="2890"/>
            <w:tcMar>
              <w:top w:w="80" w:type="dxa"/>
              <w:bottom w:w="80" w:type="dxa"/>
              <w:left w:w="120" w:type="dxa"/>
              <w:right w:w="120" w:type="dxa"/>
            </w:tcMar>
          </w:tcPr>
          <w:p>
            <w:pPr>
              <w:spacing w:line="276" w:lineRule="auto" w:after="40"/>
              <w:jc w:val="center"/>
            </w:pPr>
            <w:r>
              <w:t>vi</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LIST OF FIGURES</w:t>
            </w:r>
          </w:p>
        </w:tc>
        <w:tc>
          <w:tcPr>
            <w:tcW w:type="dxa" w:w="2890"/>
            <w:tcMar>
              <w:top w:w="80" w:type="dxa"/>
              <w:bottom w:w="80" w:type="dxa"/>
              <w:left w:w="120" w:type="dxa"/>
              <w:right w:w="120" w:type="dxa"/>
            </w:tcMar>
          </w:tcPr>
          <w:p>
            <w:pPr>
              <w:spacing w:line="276" w:lineRule="auto" w:after="40"/>
              <w:jc w:val="center"/>
            </w:pPr>
            <w:r>
              <w:t>viii</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LIST OF TABLES</w:t>
            </w:r>
          </w:p>
        </w:tc>
        <w:tc>
          <w:tcPr>
            <w:tcW w:type="dxa" w:w="2890"/>
            <w:tcMar>
              <w:top w:w="80" w:type="dxa"/>
              <w:bottom w:w="80" w:type="dxa"/>
              <w:left w:w="120" w:type="dxa"/>
              <w:right w:w="120" w:type="dxa"/>
            </w:tcMar>
          </w:tcPr>
          <w:p>
            <w:pPr>
              <w:spacing w:line="276" w:lineRule="auto" w:after="40"/>
              <w:jc w:val="center"/>
            </w:pPr>
            <w:r>
              <w:t>ix</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ABBREVIATIONS</w:t>
            </w:r>
          </w:p>
        </w:tc>
        <w:tc>
          <w:tcPr>
            <w:tcW w:type="dxa" w:w="2890"/>
            <w:tcMar>
              <w:top w:w="80" w:type="dxa"/>
              <w:bottom w:w="80" w:type="dxa"/>
              <w:left w:w="120" w:type="dxa"/>
              <w:right w:w="120" w:type="dxa"/>
            </w:tcMar>
          </w:tcPr>
          <w:p>
            <w:pPr>
              <w:spacing w:line="276" w:lineRule="auto" w:after="40"/>
              <w:jc w:val="center"/>
            </w:pPr>
            <w:r>
              <w:t>x</w:t>
            </w:r>
          </w:p>
        </w:tc>
      </w:tr>
      <w:tr>
        <w:tc>
          <w:tcPr>
            <w:tcW w:type="dxa" w:w="2890"/>
            <w:tcMar>
              <w:top w:w="80" w:type="dxa"/>
              <w:bottom w:w="80" w:type="dxa"/>
              <w:left w:w="120" w:type="dxa"/>
              <w:right w:w="120" w:type="dxa"/>
            </w:tcMar>
          </w:tcPr>
          <w:p>
            <w:pPr>
              <w:spacing w:line="276" w:lineRule="auto" w:after="40"/>
              <w:jc w:val="center"/>
            </w:pPr>
            <w:r>
              <w:t>1.</w:t>
            </w:r>
          </w:p>
        </w:tc>
        <w:tc>
          <w:tcPr>
            <w:tcW w:type="dxa" w:w="2890"/>
            <w:tcMar>
              <w:top w:w="80" w:type="dxa"/>
              <w:bottom w:w="80" w:type="dxa"/>
              <w:left w:w="120" w:type="dxa"/>
              <w:right w:w="120" w:type="dxa"/>
            </w:tcMar>
          </w:tcPr>
          <w:p>
            <w:pPr>
              <w:spacing w:line="276" w:lineRule="auto" w:after="40"/>
            </w:pPr>
            <w:r>
              <w:t>INTRODUCTION</w:t>
              <w:br/>
              <w:t xml:space="preserve">  1.1 Background and Motivation</w:t>
              <w:br/>
              <w:t xml:space="preserve">  1.2 Scope and Limitations</w:t>
              <w:br/>
              <w:t xml:space="preserve">  1.3 Problem Statement</w:t>
              <w:br/>
              <w:t xml:space="preserve">  1.4 Motivation</w:t>
              <w:br/>
              <w:t xml:space="preserve">  1.5 Methodology Overview</w:t>
              <w:br/>
              <w:t xml:space="preserve">  1.6 Organization of the Report</w:t>
            </w:r>
          </w:p>
        </w:tc>
        <w:tc>
          <w:tcPr>
            <w:tcW w:type="dxa" w:w="2890"/>
            <w:tcMar>
              <w:top w:w="80" w:type="dxa"/>
              <w:bottom w:w="80" w:type="dxa"/>
              <w:left w:w="120" w:type="dxa"/>
              <w:right w:w="120" w:type="dxa"/>
            </w:tcMar>
          </w:tcPr>
          <w:p>
            <w:pPr>
              <w:spacing w:line="276" w:lineRule="auto" w:after="40"/>
              <w:jc w:val="center"/>
            </w:pPr>
            <w:r>
              <w:t>1</w:t>
            </w:r>
          </w:p>
        </w:tc>
      </w:tr>
      <w:tr>
        <w:tc>
          <w:tcPr>
            <w:tcW w:type="dxa" w:w="2890"/>
            <w:tcMar>
              <w:top w:w="80" w:type="dxa"/>
              <w:bottom w:w="80" w:type="dxa"/>
              <w:left w:w="120" w:type="dxa"/>
              <w:right w:w="120" w:type="dxa"/>
            </w:tcMar>
          </w:tcPr>
          <w:p>
            <w:pPr>
              <w:spacing w:line="276" w:lineRule="auto" w:after="40"/>
              <w:jc w:val="center"/>
            </w:pPr>
            <w:r>
              <w:t>2.</w:t>
            </w:r>
          </w:p>
        </w:tc>
        <w:tc>
          <w:tcPr>
            <w:tcW w:type="dxa" w:w="2890"/>
            <w:tcMar>
              <w:top w:w="80" w:type="dxa"/>
              <w:bottom w:w="80" w:type="dxa"/>
              <w:left w:w="120" w:type="dxa"/>
              <w:right w:w="120" w:type="dxa"/>
            </w:tcMar>
          </w:tcPr>
          <w:p>
            <w:pPr>
              <w:spacing w:line="276" w:lineRule="auto" w:after="40"/>
            </w:pPr>
            <w:r>
              <w:t>LITERATURE REVIEW</w:t>
              <w:br/>
              <w:t xml:space="preserve">  2.1 Introduction to Related Work</w:t>
              <w:br/>
              <w:t xml:space="preserve">  2.2 Survey of Existing Systems</w:t>
              <w:br/>
              <w:t xml:space="preserve">  2.3 Research Gaps Identified</w:t>
              <w:br/>
              <w:t xml:space="preserve">  2.4 Objectives of the Study</w:t>
              <w:br/>
              <w:t xml:space="preserve">  2.5 Summary</w:t>
            </w:r>
          </w:p>
        </w:tc>
        <w:tc>
          <w:tcPr>
            <w:tcW w:type="dxa" w:w="2890"/>
            <w:tcMar>
              <w:top w:w="80" w:type="dxa"/>
              <w:bottom w:w="80" w:type="dxa"/>
              <w:left w:w="120" w:type="dxa"/>
              <w:right w:w="120" w:type="dxa"/>
            </w:tcMar>
          </w:tcPr>
          <w:p>
            <w:pPr>
              <w:spacing w:line="276" w:lineRule="auto" w:after="40"/>
              <w:jc w:val="center"/>
            </w:pPr>
            <w:r>
              <w:t>7</w:t>
            </w:r>
          </w:p>
        </w:tc>
      </w:tr>
      <w:tr>
        <w:tc>
          <w:tcPr>
            <w:tcW w:type="dxa" w:w="2890"/>
            <w:tcMar>
              <w:top w:w="80" w:type="dxa"/>
              <w:bottom w:w="80" w:type="dxa"/>
              <w:left w:w="120" w:type="dxa"/>
              <w:right w:w="120" w:type="dxa"/>
            </w:tcMar>
          </w:tcPr>
          <w:p>
            <w:pPr>
              <w:spacing w:line="276" w:lineRule="auto" w:after="40"/>
              <w:jc w:val="center"/>
            </w:pPr>
            <w:r>
              <w:t>3.</w:t>
            </w:r>
          </w:p>
        </w:tc>
        <w:tc>
          <w:tcPr>
            <w:tcW w:type="dxa" w:w="2890"/>
            <w:tcMar>
              <w:top w:w="80" w:type="dxa"/>
              <w:bottom w:w="80" w:type="dxa"/>
              <w:left w:w="120" w:type="dxa"/>
              <w:right w:w="120" w:type="dxa"/>
            </w:tcMar>
          </w:tcPr>
          <w:p>
            <w:pPr>
              <w:spacing w:line="276" w:lineRule="auto" w:after="40"/>
            </w:pPr>
            <w:r>
              <w:t>RESEARCH GAPS OF EXISTING METHODS</w:t>
            </w:r>
          </w:p>
        </w:tc>
        <w:tc>
          <w:tcPr>
            <w:tcW w:type="dxa" w:w="2890"/>
            <w:tcMar>
              <w:top w:w="80" w:type="dxa"/>
              <w:bottom w:w="80" w:type="dxa"/>
              <w:left w:w="120" w:type="dxa"/>
              <w:right w:w="120" w:type="dxa"/>
            </w:tcMar>
          </w:tcPr>
          <w:p>
            <w:pPr>
              <w:spacing w:line="276" w:lineRule="auto" w:after="40"/>
              <w:jc w:val="center"/>
            </w:pPr>
            <w:r>
              <w:t>12</w:t>
            </w:r>
          </w:p>
        </w:tc>
      </w:tr>
      <w:tr>
        <w:tc>
          <w:tcPr>
            <w:tcW w:type="dxa" w:w="2890"/>
            <w:tcMar>
              <w:top w:w="80" w:type="dxa"/>
              <w:bottom w:w="80" w:type="dxa"/>
              <w:left w:w="120" w:type="dxa"/>
              <w:right w:w="120" w:type="dxa"/>
            </w:tcMar>
          </w:tcPr>
          <w:p>
            <w:pPr>
              <w:spacing w:line="276" w:lineRule="auto" w:after="40"/>
              <w:jc w:val="center"/>
            </w:pPr>
            <w:r>
              <w:t>4.</w:t>
            </w:r>
          </w:p>
        </w:tc>
        <w:tc>
          <w:tcPr>
            <w:tcW w:type="dxa" w:w="2890"/>
            <w:tcMar>
              <w:top w:w="80" w:type="dxa"/>
              <w:bottom w:w="80" w:type="dxa"/>
              <w:left w:w="120" w:type="dxa"/>
              <w:right w:w="120" w:type="dxa"/>
            </w:tcMar>
          </w:tcPr>
          <w:p>
            <w:pPr>
              <w:spacing w:line="276" w:lineRule="auto" w:after="40"/>
            </w:pPr>
            <w:r>
              <w:t>PROPOSED METHODOLOGY</w:t>
              <w:br/>
              <w:t xml:space="preserve">  4.1 Methodology Outline</w:t>
              <w:br/>
              <w:t xml:space="preserve">  4.2 Tools, Technologies, Platforms Used</w:t>
              <w:br/>
              <w:t xml:space="preserve">  4.3 Proposed Architecture</w:t>
              <w:br/>
              <w:t xml:space="preserve">  4.4 Data Collection &amp; Preprocessing</w:t>
              <w:br/>
              <w:t xml:space="preserve">  4.5 Dataset Description</w:t>
              <w:br/>
              <w:t xml:space="preserve">  4.6 Feature Engineering (CRI Formulation)</w:t>
              <w:br/>
              <w:t xml:space="preserve">  4.7 Workflow Diagram</w:t>
              <w:br/>
              <w:t xml:space="preserve">  4.8 Summary</w:t>
            </w:r>
          </w:p>
        </w:tc>
        <w:tc>
          <w:tcPr>
            <w:tcW w:type="dxa" w:w="2890"/>
            <w:tcMar>
              <w:top w:w="80" w:type="dxa"/>
              <w:bottom w:w="80" w:type="dxa"/>
              <w:left w:w="120" w:type="dxa"/>
              <w:right w:w="120" w:type="dxa"/>
            </w:tcMar>
          </w:tcPr>
          <w:p>
            <w:pPr>
              <w:spacing w:line="276" w:lineRule="auto" w:after="40"/>
              <w:jc w:val="center"/>
            </w:pPr>
            <w:r>
              <w:t>14</w:t>
            </w:r>
          </w:p>
        </w:tc>
      </w:tr>
      <w:tr>
        <w:tc>
          <w:tcPr>
            <w:tcW w:type="dxa" w:w="2890"/>
            <w:tcMar>
              <w:top w:w="80" w:type="dxa"/>
              <w:bottom w:w="80" w:type="dxa"/>
              <w:left w:w="120" w:type="dxa"/>
              <w:right w:w="120" w:type="dxa"/>
            </w:tcMar>
          </w:tcPr>
          <w:p>
            <w:pPr>
              <w:spacing w:line="276" w:lineRule="auto" w:after="40"/>
              <w:jc w:val="center"/>
            </w:pPr>
            <w:r>
              <w:t>5.</w:t>
            </w:r>
          </w:p>
        </w:tc>
        <w:tc>
          <w:tcPr>
            <w:tcW w:type="dxa" w:w="2890"/>
            <w:tcMar>
              <w:top w:w="80" w:type="dxa"/>
              <w:bottom w:w="80" w:type="dxa"/>
              <w:left w:w="120" w:type="dxa"/>
              <w:right w:w="120" w:type="dxa"/>
            </w:tcMar>
          </w:tcPr>
          <w:p>
            <w:pPr>
              <w:spacing w:line="276" w:lineRule="auto" w:after="40"/>
            </w:pPr>
            <w:r>
              <w:t>OBJECTIVES</w:t>
            </w:r>
          </w:p>
        </w:tc>
        <w:tc>
          <w:tcPr>
            <w:tcW w:type="dxa" w:w="2890"/>
            <w:tcMar>
              <w:top w:w="80" w:type="dxa"/>
              <w:bottom w:w="80" w:type="dxa"/>
              <w:left w:w="120" w:type="dxa"/>
              <w:right w:w="120" w:type="dxa"/>
            </w:tcMar>
          </w:tcPr>
          <w:p>
            <w:pPr>
              <w:spacing w:line="276" w:lineRule="auto" w:after="40"/>
              <w:jc w:val="center"/>
            </w:pPr>
            <w:r>
              <w:t>21</w:t>
            </w:r>
          </w:p>
        </w:tc>
      </w:tr>
      <w:tr>
        <w:tc>
          <w:tcPr>
            <w:tcW w:type="dxa" w:w="2890"/>
            <w:tcMar>
              <w:top w:w="80" w:type="dxa"/>
              <w:bottom w:w="80" w:type="dxa"/>
              <w:left w:w="120" w:type="dxa"/>
              <w:right w:w="120" w:type="dxa"/>
            </w:tcMar>
          </w:tcPr>
          <w:p>
            <w:pPr>
              <w:spacing w:line="276" w:lineRule="auto" w:after="40"/>
              <w:jc w:val="center"/>
            </w:pPr>
            <w:r>
              <w:t>6.</w:t>
            </w:r>
          </w:p>
        </w:tc>
        <w:tc>
          <w:tcPr>
            <w:tcW w:type="dxa" w:w="2890"/>
            <w:tcMar>
              <w:top w:w="80" w:type="dxa"/>
              <w:bottom w:w="80" w:type="dxa"/>
              <w:left w:w="120" w:type="dxa"/>
              <w:right w:w="120" w:type="dxa"/>
            </w:tcMar>
          </w:tcPr>
          <w:p>
            <w:pPr>
              <w:spacing w:line="276" w:lineRule="auto" w:after="40"/>
            </w:pPr>
            <w:r>
              <w:t>SYSTEM DESIGN AND IMPLEMENTATION</w:t>
              <w:br/>
              <w:t xml:space="preserve">  6.1 Module-wise Implementation Details</w:t>
              <w:br/>
              <w:t xml:space="preserve">  6.2 Object-Oriented Software Architecture (pipeline_oop.py)</w:t>
              <w:br/>
              <w:t xml:space="preserve">  6.3 Spatial GIS Surveillance Module (gis_outbreak_mapper.py)</w:t>
              <w:br/>
              <w:t xml:space="preserve">  6.4 Interactive Web Application (app.py)</w:t>
              <w:br/>
              <w:t xml:space="preserve">  6.5 Summary</w:t>
            </w:r>
          </w:p>
        </w:tc>
        <w:tc>
          <w:tcPr>
            <w:tcW w:type="dxa" w:w="2890"/>
            <w:tcMar>
              <w:top w:w="80" w:type="dxa"/>
              <w:bottom w:w="80" w:type="dxa"/>
              <w:left w:w="120" w:type="dxa"/>
              <w:right w:w="120" w:type="dxa"/>
            </w:tcMar>
          </w:tcPr>
          <w:p>
            <w:pPr>
              <w:spacing w:line="276" w:lineRule="auto" w:after="40"/>
              <w:jc w:val="center"/>
            </w:pPr>
            <w:r>
              <w:t>23</w:t>
            </w:r>
          </w:p>
        </w:tc>
      </w:tr>
      <w:tr>
        <w:tc>
          <w:tcPr>
            <w:tcW w:type="dxa" w:w="2890"/>
            <w:tcMar>
              <w:top w:w="80" w:type="dxa"/>
              <w:bottom w:w="80" w:type="dxa"/>
              <w:left w:w="120" w:type="dxa"/>
              <w:right w:w="120" w:type="dxa"/>
            </w:tcMar>
          </w:tcPr>
          <w:p>
            <w:pPr>
              <w:spacing w:line="276" w:lineRule="auto" w:after="40"/>
              <w:jc w:val="center"/>
            </w:pPr>
            <w:r>
              <w:t>7.</w:t>
            </w:r>
          </w:p>
        </w:tc>
        <w:tc>
          <w:tcPr>
            <w:tcW w:type="dxa" w:w="2890"/>
            <w:tcMar>
              <w:top w:w="80" w:type="dxa"/>
              <w:bottom w:w="80" w:type="dxa"/>
              <w:left w:w="120" w:type="dxa"/>
              <w:right w:w="120" w:type="dxa"/>
            </w:tcMar>
          </w:tcPr>
          <w:p>
            <w:pPr>
              <w:spacing w:line="276" w:lineRule="auto" w:after="40"/>
            </w:pPr>
            <w:r>
              <w:t>TIMELINE FOR EXECUTION OF PROJECT (GANTT CHART)</w:t>
            </w:r>
          </w:p>
        </w:tc>
        <w:tc>
          <w:tcPr>
            <w:tcW w:type="dxa" w:w="2890"/>
            <w:tcMar>
              <w:top w:w="80" w:type="dxa"/>
              <w:bottom w:w="80" w:type="dxa"/>
              <w:left w:w="120" w:type="dxa"/>
              <w:right w:w="120" w:type="dxa"/>
            </w:tcMar>
          </w:tcPr>
          <w:p>
            <w:pPr>
              <w:spacing w:line="276" w:lineRule="auto" w:after="40"/>
              <w:jc w:val="center"/>
            </w:pPr>
            <w:r>
              <w:t>31</w:t>
            </w:r>
          </w:p>
        </w:tc>
      </w:tr>
      <w:tr>
        <w:tc>
          <w:tcPr>
            <w:tcW w:type="dxa" w:w="2890"/>
            <w:tcMar>
              <w:top w:w="80" w:type="dxa"/>
              <w:bottom w:w="80" w:type="dxa"/>
              <w:left w:w="120" w:type="dxa"/>
              <w:right w:w="120" w:type="dxa"/>
            </w:tcMar>
          </w:tcPr>
          <w:p>
            <w:pPr>
              <w:spacing w:line="276" w:lineRule="auto" w:after="40"/>
              <w:jc w:val="center"/>
            </w:pPr>
            <w:r>
              <w:t>8.</w:t>
            </w:r>
          </w:p>
        </w:tc>
        <w:tc>
          <w:tcPr>
            <w:tcW w:type="dxa" w:w="2890"/>
            <w:tcMar>
              <w:top w:w="80" w:type="dxa"/>
              <w:bottom w:w="80" w:type="dxa"/>
              <w:left w:w="120" w:type="dxa"/>
              <w:right w:w="120" w:type="dxa"/>
            </w:tcMar>
          </w:tcPr>
          <w:p>
            <w:pPr>
              <w:spacing w:line="276" w:lineRule="auto" w:after="40"/>
            </w:pPr>
            <w:r>
              <w:t>OUTCOMES</w:t>
            </w:r>
          </w:p>
        </w:tc>
        <w:tc>
          <w:tcPr>
            <w:tcW w:type="dxa" w:w="2890"/>
            <w:tcMar>
              <w:top w:w="80" w:type="dxa"/>
              <w:bottom w:w="80" w:type="dxa"/>
              <w:left w:w="120" w:type="dxa"/>
              <w:right w:w="120" w:type="dxa"/>
            </w:tcMar>
          </w:tcPr>
          <w:p>
            <w:pPr>
              <w:spacing w:line="276" w:lineRule="auto" w:after="40"/>
              <w:jc w:val="center"/>
            </w:pPr>
            <w:r>
              <w:t>33</w:t>
            </w:r>
          </w:p>
        </w:tc>
      </w:tr>
      <w:tr>
        <w:tc>
          <w:tcPr>
            <w:tcW w:type="dxa" w:w="2890"/>
            <w:tcMar>
              <w:top w:w="80" w:type="dxa"/>
              <w:bottom w:w="80" w:type="dxa"/>
              <w:left w:w="120" w:type="dxa"/>
              <w:right w:w="120" w:type="dxa"/>
            </w:tcMar>
          </w:tcPr>
          <w:p>
            <w:pPr>
              <w:spacing w:line="276" w:lineRule="auto" w:after="40"/>
              <w:jc w:val="center"/>
            </w:pPr>
            <w:r>
              <w:t>9.</w:t>
            </w:r>
          </w:p>
        </w:tc>
        <w:tc>
          <w:tcPr>
            <w:tcW w:type="dxa" w:w="2890"/>
            <w:tcMar>
              <w:top w:w="80" w:type="dxa"/>
              <w:bottom w:w="80" w:type="dxa"/>
              <w:left w:w="120" w:type="dxa"/>
              <w:right w:w="120" w:type="dxa"/>
            </w:tcMar>
          </w:tcPr>
          <w:p>
            <w:pPr>
              <w:spacing w:line="276" w:lineRule="auto" w:after="40"/>
            </w:pPr>
            <w:r>
              <w:t>RESULTS AND DISCUSSIONS</w:t>
              <w:br/>
              <w:t xml:space="preserve">  9.1 Experimental Setup and Environment</w:t>
              <w:br/>
              <w:t xml:space="preserve">  9.2 Performance Metrics Used</w:t>
              <w:br/>
              <w:t xml:space="preserve">  9.3 5-Fold Stratified Cross-Validation Results</w:t>
              <w:br/>
              <w:t xml:space="preserve">  9.4 Comparative Results &amp; Analysis</w:t>
              <w:br/>
              <w:t xml:space="preserve">  9.5 Discussion on Outcomes &amp; Feature Importance</w:t>
              <w:br/>
              <w:t xml:space="preserve">  9.6 Summary</w:t>
            </w:r>
          </w:p>
        </w:tc>
        <w:tc>
          <w:tcPr>
            <w:tcW w:type="dxa" w:w="2890"/>
            <w:tcMar>
              <w:top w:w="80" w:type="dxa"/>
              <w:bottom w:w="80" w:type="dxa"/>
              <w:left w:w="120" w:type="dxa"/>
              <w:right w:w="120" w:type="dxa"/>
            </w:tcMar>
          </w:tcPr>
          <w:p>
            <w:pPr>
              <w:spacing w:line="276" w:lineRule="auto" w:after="40"/>
              <w:jc w:val="center"/>
            </w:pPr>
            <w:r>
              <w:t>35</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CONCLUSION AND FUTURE WORK</w:t>
              <w:br/>
              <w:t xml:space="preserve">  Summary of Contributions</w:t>
              <w:br/>
              <w:t xml:space="preserve">  Key Findings</w:t>
              <w:br/>
              <w:t xml:space="preserve">  Limitations of the Study</w:t>
              <w:br/>
              <w:t xml:space="preserve">  Suggestions for Future Research</w:t>
            </w:r>
          </w:p>
        </w:tc>
        <w:tc>
          <w:tcPr>
            <w:tcW w:type="dxa" w:w="2890"/>
            <w:tcMar>
              <w:top w:w="80" w:type="dxa"/>
              <w:bottom w:w="80" w:type="dxa"/>
              <w:left w:w="120" w:type="dxa"/>
              <w:right w:w="120" w:type="dxa"/>
            </w:tcMar>
          </w:tcPr>
          <w:p>
            <w:pPr>
              <w:spacing w:line="276" w:lineRule="auto" w:after="40"/>
              <w:jc w:val="center"/>
            </w:pPr>
            <w:r>
              <w:t>42</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REFERENCES</w:t>
            </w:r>
          </w:p>
        </w:tc>
        <w:tc>
          <w:tcPr>
            <w:tcW w:type="dxa" w:w="2890"/>
            <w:tcMar>
              <w:top w:w="80" w:type="dxa"/>
              <w:bottom w:w="80" w:type="dxa"/>
              <w:left w:w="120" w:type="dxa"/>
              <w:right w:w="120" w:type="dxa"/>
            </w:tcMar>
          </w:tcPr>
          <w:p>
            <w:pPr>
              <w:spacing w:line="276" w:lineRule="auto" w:after="40"/>
              <w:jc w:val="center"/>
            </w:pPr>
            <w:r>
              <w:t>45</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APPENDIX-A: PSEUDOCODE</w:t>
            </w:r>
          </w:p>
        </w:tc>
        <w:tc>
          <w:tcPr>
            <w:tcW w:type="dxa" w:w="2890"/>
            <w:tcMar>
              <w:top w:w="80" w:type="dxa"/>
              <w:bottom w:w="80" w:type="dxa"/>
              <w:left w:w="120" w:type="dxa"/>
              <w:right w:w="120" w:type="dxa"/>
            </w:tcMar>
          </w:tcPr>
          <w:p>
            <w:pPr>
              <w:spacing w:line="276" w:lineRule="auto" w:after="40"/>
              <w:jc w:val="center"/>
            </w:pPr>
            <w:r>
              <w:t>48</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APPENDIX-B: SYSTEM INTERFACE &amp; SCREENSHOTS</w:t>
            </w:r>
          </w:p>
        </w:tc>
        <w:tc>
          <w:tcPr>
            <w:tcW w:type="dxa" w:w="2890"/>
            <w:tcMar>
              <w:top w:w="80" w:type="dxa"/>
              <w:bottom w:w="80" w:type="dxa"/>
              <w:left w:w="120" w:type="dxa"/>
              <w:right w:w="120" w:type="dxa"/>
            </w:tcMar>
          </w:tcPr>
          <w:p>
            <w:pPr>
              <w:spacing w:line="276" w:lineRule="auto" w:after="40"/>
              <w:jc w:val="center"/>
            </w:pPr>
            <w:r>
              <w:t>51</w:t>
            </w:r>
          </w:p>
        </w:tc>
      </w:tr>
      <w:tr>
        <w:tc>
          <w:tcPr>
            <w:tcW w:type="dxa" w:w="2890"/>
            <w:tcMar>
              <w:top w:w="80" w:type="dxa"/>
              <w:bottom w:w="80" w:type="dxa"/>
              <w:left w:w="120" w:type="dxa"/>
              <w:right w:w="120" w:type="dxa"/>
            </w:tcMar>
          </w:tcPr>
          <w:p>
            <w:pPr>
              <w:spacing w:line="276" w:lineRule="auto" w:after="40"/>
              <w:jc w:val="center"/>
            </w:pPr>
            <w:r/>
          </w:p>
        </w:tc>
        <w:tc>
          <w:tcPr>
            <w:tcW w:type="dxa" w:w="2890"/>
            <w:tcMar>
              <w:top w:w="80" w:type="dxa"/>
              <w:bottom w:w="80" w:type="dxa"/>
              <w:left w:w="120" w:type="dxa"/>
              <w:right w:w="120" w:type="dxa"/>
            </w:tcMar>
          </w:tcPr>
          <w:p>
            <w:pPr>
              <w:spacing w:line="276" w:lineRule="auto" w:after="40"/>
            </w:pPr>
            <w:r>
              <w:t>APPENDIX-C: ENCLOSURES &amp; SDG MAPPING</w:t>
            </w:r>
          </w:p>
        </w:tc>
        <w:tc>
          <w:tcPr>
            <w:tcW w:type="dxa" w:w="2890"/>
            <w:tcMar>
              <w:top w:w="80" w:type="dxa"/>
              <w:bottom w:w="80" w:type="dxa"/>
              <w:left w:w="120" w:type="dxa"/>
              <w:right w:w="120" w:type="dxa"/>
            </w:tcMar>
          </w:tcPr>
          <w:p>
            <w:pPr>
              <w:spacing w:line="276" w:lineRule="auto" w:after="40"/>
              <w:jc w:val="center"/>
            </w:pPr>
            <w:r>
              <w:t>55</w:t>
            </w:r>
          </w:p>
        </w:tc>
      </w:tr>
    </w:tbl>
    <w:p>
      <w:pPr>
        <w:pageBreakBefore/>
        <w:spacing w:before="480" w:after="360"/>
        <w:jc w:val="center"/>
      </w:pPr>
      <w:r>
        <w:rPr>
          <w:b/>
          <w:sz w:val="36"/>
        </w:rPr>
        <w:t>LIST OF FIGURES</w:t>
      </w:r>
    </w:p>
    <w:p>
      <w:pPr>
        <w:spacing w:before="240" w:after="80"/>
        <w:jc w:val="center"/>
      </w:pPr>
      <w:r>
        <w:rPr>
          <w:rFonts w:ascii="Times New Roman" w:hAnsi="Times New Roman"/>
          <w:b/>
          <w:color w:val="000000"/>
          <w:sz w:val="24"/>
        </w:rPr>
        <w:t>List of Figures</w:t>
      </w:r>
    </w:p>
    <w:tbl>
      <w:tblPr>
        <w:tblW w:type="auto" w:w="0"/>
        <w:jc w:val="center"/>
        <w:tblLook w:firstColumn="1" w:firstRow="1" w:lastColumn="0" w:lastRow="0" w:noHBand="0" w:noVBand="1" w:val="04A0"/>
      </w:tblPr>
      <w:tblGrid>
        <w:gridCol w:w="2890"/>
        <w:gridCol w:w="2890"/>
        <w:gridCol w:w="2890"/>
      </w:tblGrid>
      <w:tr>
        <w:tc>
          <w:tcPr>
            <w:tcW w:type="dxa" w:w="2890"/>
            <w:shd w:fill="0F2043"/>
            <w:tcMar>
              <w:top w:w="80" w:type="dxa"/>
              <w:bottom w:w="80" w:type="dxa"/>
              <w:left w:w="120" w:type="dxa"/>
              <w:right w:w="120" w:type="dxa"/>
            </w:tcMar>
          </w:tcPr>
          <w:p>
            <w:r>
              <w:rPr>
                <w:b/>
                <w:color w:val="FFFFFF"/>
              </w:rPr>
              <w:t>Figure No.</w:t>
            </w:r>
          </w:p>
        </w:tc>
        <w:tc>
          <w:tcPr>
            <w:tcW w:type="dxa" w:w="2890"/>
            <w:shd w:fill="0F2043"/>
            <w:tcMar>
              <w:top w:w="80" w:type="dxa"/>
              <w:bottom w:w="80" w:type="dxa"/>
              <w:left w:w="120" w:type="dxa"/>
              <w:right w:w="120" w:type="dxa"/>
            </w:tcMar>
          </w:tcPr>
          <w:p>
            <w:r>
              <w:rPr>
                <w:b/>
                <w:color w:val="FFFFFF"/>
              </w:rPr>
              <w:t>Figure Caption</w:t>
            </w:r>
          </w:p>
        </w:tc>
        <w:tc>
          <w:tcPr>
            <w:tcW w:type="dxa" w:w="2890"/>
            <w:shd w:fill="0F2043"/>
            <w:tcMar>
              <w:top w:w="80" w:type="dxa"/>
              <w:bottom w:w="80" w:type="dxa"/>
              <w:left w:w="120" w:type="dxa"/>
              <w:right w:w="120" w:type="dxa"/>
            </w:tcMar>
          </w:tcPr>
          <w:p>
            <w:r>
              <w:rPr>
                <w:b/>
                <w:color w:val="FFFFFF"/>
              </w:rPr>
              <w:t>Page No.</w:t>
            </w:r>
          </w:p>
        </w:tc>
      </w:tr>
      <w:tr>
        <w:tc>
          <w:tcPr>
            <w:tcW w:type="dxa" w:w="2890"/>
            <w:tcMar>
              <w:top w:w="80" w:type="dxa"/>
              <w:bottom w:w="80" w:type="dxa"/>
              <w:left w:w="120" w:type="dxa"/>
              <w:right w:w="120" w:type="dxa"/>
            </w:tcMar>
          </w:tcPr>
          <w:p>
            <w:pPr>
              <w:jc w:val="center"/>
            </w:pPr>
            <w:r>
              <w:t>Figure 4.1</w:t>
            </w:r>
          </w:p>
        </w:tc>
        <w:tc>
          <w:tcPr>
            <w:tcW w:type="dxa" w:w="2890"/>
            <w:tcMar>
              <w:top w:w="80" w:type="dxa"/>
              <w:bottom w:w="80" w:type="dxa"/>
              <w:left w:w="120" w:type="dxa"/>
              <w:right w:w="120" w:type="dxa"/>
            </w:tcMar>
          </w:tcPr>
          <w:p>
            <w:r>
              <w:t>5-Tier System Architecture for Waterborne Outbreak Risk Prediction</w:t>
            </w:r>
          </w:p>
        </w:tc>
        <w:tc>
          <w:tcPr>
            <w:tcW w:type="dxa" w:w="2890"/>
            <w:tcMar>
              <w:top w:w="80" w:type="dxa"/>
              <w:bottom w:w="80" w:type="dxa"/>
              <w:left w:w="120" w:type="dxa"/>
              <w:right w:w="120" w:type="dxa"/>
            </w:tcMar>
          </w:tcPr>
          <w:p>
            <w:pPr>
              <w:jc w:val="center"/>
            </w:pPr>
            <w:r>
              <w:t>16</w:t>
            </w:r>
          </w:p>
        </w:tc>
      </w:tr>
      <w:tr>
        <w:tc>
          <w:tcPr>
            <w:tcW w:type="dxa" w:w="2890"/>
            <w:tcMar>
              <w:top w:w="80" w:type="dxa"/>
              <w:bottom w:w="80" w:type="dxa"/>
              <w:left w:w="120" w:type="dxa"/>
              <w:right w:w="120" w:type="dxa"/>
            </w:tcMar>
          </w:tcPr>
          <w:p>
            <w:pPr>
              <w:jc w:val="center"/>
            </w:pPr>
            <w:r>
              <w:t>Figure 4.2</w:t>
            </w:r>
          </w:p>
        </w:tc>
        <w:tc>
          <w:tcPr>
            <w:tcW w:type="dxa" w:w="2890"/>
            <w:tcMar>
              <w:top w:w="80" w:type="dxa"/>
              <w:bottom w:w="80" w:type="dxa"/>
              <w:left w:w="120" w:type="dxa"/>
              <w:right w:w="120" w:type="dxa"/>
            </w:tcMar>
          </w:tcPr>
          <w:p>
            <w:r>
              <w:t>End-to-End Machine Learning and Spatial Surveillance Workflow</w:t>
            </w:r>
          </w:p>
        </w:tc>
        <w:tc>
          <w:tcPr>
            <w:tcW w:type="dxa" w:w="2890"/>
            <w:tcMar>
              <w:top w:w="80" w:type="dxa"/>
              <w:bottom w:w="80" w:type="dxa"/>
              <w:left w:w="120" w:type="dxa"/>
              <w:right w:w="120" w:type="dxa"/>
            </w:tcMar>
          </w:tcPr>
          <w:p>
            <w:pPr>
              <w:jc w:val="center"/>
            </w:pPr>
            <w:r>
              <w:t>19</w:t>
            </w:r>
          </w:p>
        </w:tc>
      </w:tr>
      <w:tr>
        <w:tc>
          <w:tcPr>
            <w:tcW w:type="dxa" w:w="2890"/>
            <w:tcMar>
              <w:top w:w="80" w:type="dxa"/>
              <w:bottom w:w="80" w:type="dxa"/>
              <w:left w:w="120" w:type="dxa"/>
              <w:right w:w="120" w:type="dxa"/>
            </w:tcMar>
          </w:tcPr>
          <w:p>
            <w:pPr>
              <w:jc w:val="center"/>
            </w:pPr>
            <w:r>
              <w:t>Figure 6.1</w:t>
            </w:r>
          </w:p>
        </w:tc>
        <w:tc>
          <w:tcPr>
            <w:tcW w:type="dxa" w:w="2890"/>
            <w:tcMar>
              <w:top w:w="80" w:type="dxa"/>
              <w:bottom w:w="80" w:type="dxa"/>
              <w:left w:w="120" w:type="dxa"/>
              <w:right w:w="120" w:type="dxa"/>
            </w:tcMar>
          </w:tcPr>
          <w:p>
            <w:r>
              <w:t>UML Class Diagram for Object-Oriented Pipeline Architecture (pipeline_oop.py)</w:t>
            </w:r>
          </w:p>
        </w:tc>
        <w:tc>
          <w:tcPr>
            <w:tcW w:type="dxa" w:w="2890"/>
            <w:tcMar>
              <w:top w:w="80" w:type="dxa"/>
              <w:bottom w:w="80" w:type="dxa"/>
              <w:left w:w="120" w:type="dxa"/>
              <w:right w:w="120" w:type="dxa"/>
            </w:tcMar>
          </w:tcPr>
          <w:p>
            <w:pPr>
              <w:jc w:val="center"/>
            </w:pPr>
            <w:r>
              <w:t>25</w:t>
            </w:r>
          </w:p>
        </w:tc>
      </w:tr>
      <w:tr>
        <w:tc>
          <w:tcPr>
            <w:tcW w:type="dxa" w:w="2890"/>
            <w:tcMar>
              <w:top w:w="80" w:type="dxa"/>
              <w:bottom w:w="80" w:type="dxa"/>
              <w:left w:w="120" w:type="dxa"/>
              <w:right w:w="120" w:type="dxa"/>
            </w:tcMar>
          </w:tcPr>
          <w:p>
            <w:pPr>
              <w:jc w:val="center"/>
            </w:pPr>
            <w:r>
              <w:t>Figure 6.2</w:t>
            </w:r>
          </w:p>
        </w:tc>
        <w:tc>
          <w:tcPr>
            <w:tcW w:type="dxa" w:w="2890"/>
            <w:tcMar>
              <w:top w:w="80" w:type="dxa"/>
              <w:bottom w:w="80" w:type="dxa"/>
              <w:left w:w="120" w:type="dxa"/>
              <w:right w:w="120" w:type="dxa"/>
            </w:tcMar>
          </w:tcPr>
          <w:p>
            <w:r>
              <w:t>Interactive GIS Surveillance Dashboard Interface (outbreak_risk_map.html)</w:t>
            </w:r>
          </w:p>
        </w:tc>
        <w:tc>
          <w:tcPr>
            <w:tcW w:type="dxa" w:w="2890"/>
            <w:tcMar>
              <w:top w:w="80" w:type="dxa"/>
              <w:bottom w:w="80" w:type="dxa"/>
              <w:left w:w="120" w:type="dxa"/>
              <w:right w:w="120" w:type="dxa"/>
            </w:tcMar>
          </w:tcPr>
          <w:p>
            <w:pPr>
              <w:jc w:val="center"/>
            </w:pPr>
            <w:r>
              <w:t>28</w:t>
            </w:r>
          </w:p>
        </w:tc>
      </w:tr>
      <w:tr>
        <w:tc>
          <w:tcPr>
            <w:tcW w:type="dxa" w:w="2890"/>
            <w:tcMar>
              <w:top w:w="80" w:type="dxa"/>
              <w:bottom w:w="80" w:type="dxa"/>
              <w:left w:w="120" w:type="dxa"/>
              <w:right w:w="120" w:type="dxa"/>
            </w:tcMar>
          </w:tcPr>
          <w:p>
            <w:pPr>
              <w:jc w:val="center"/>
            </w:pPr>
            <w:r>
              <w:t>Figure 6.3</w:t>
            </w:r>
          </w:p>
        </w:tc>
        <w:tc>
          <w:tcPr>
            <w:tcW w:type="dxa" w:w="2890"/>
            <w:tcMar>
              <w:top w:w="80" w:type="dxa"/>
              <w:bottom w:w="80" w:type="dxa"/>
              <w:left w:w="120" w:type="dxa"/>
              <w:right w:w="120" w:type="dxa"/>
            </w:tcMar>
          </w:tcPr>
          <w:p>
            <w:r>
              <w:t>Streamlit Real-Time Decision-Support Web Application Interface (app.py)</w:t>
            </w:r>
          </w:p>
        </w:tc>
        <w:tc>
          <w:tcPr>
            <w:tcW w:type="dxa" w:w="2890"/>
            <w:tcMar>
              <w:top w:w="80" w:type="dxa"/>
              <w:bottom w:w="80" w:type="dxa"/>
              <w:left w:w="120" w:type="dxa"/>
              <w:right w:w="120" w:type="dxa"/>
            </w:tcMar>
          </w:tcPr>
          <w:p>
            <w:pPr>
              <w:jc w:val="center"/>
            </w:pPr>
            <w:r>
              <w:t>30</w:t>
            </w:r>
          </w:p>
        </w:tc>
      </w:tr>
      <w:tr>
        <w:tc>
          <w:tcPr>
            <w:tcW w:type="dxa" w:w="2890"/>
            <w:tcMar>
              <w:top w:w="80" w:type="dxa"/>
              <w:bottom w:w="80" w:type="dxa"/>
              <w:left w:w="120" w:type="dxa"/>
              <w:right w:w="120" w:type="dxa"/>
            </w:tcMar>
          </w:tcPr>
          <w:p>
            <w:pPr>
              <w:jc w:val="center"/>
            </w:pPr>
            <w:r>
              <w:t>Figure 7.1</w:t>
            </w:r>
          </w:p>
        </w:tc>
        <w:tc>
          <w:tcPr>
            <w:tcW w:type="dxa" w:w="2890"/>
            <w:tcMar>
              <w:top w:w="80" w:type="dxa"/>
              <w:bottom w:w="80" w:type="dxa"/>
              <w:left w:w="120" w:type="dxa"/>
              <w:right w:w="120" w:type="dxa"/>
            </w:tcMar>
          </w:tcPr>
          <w:p>
            <w:r>
              <w:t>Gantt Chart Representing the 10-Week Project Execution Timeline</w:t>
            </w:r>
          </w:p>
        </w:tc>
        <w:tc>
          <w:tcPr>
            <w:tcW w:type="dxa" w:w="2890"/>
            <w:tcMar>
              <w:top w:w="80" w:type="dxa"/>
              <w:bottom w:w="80" w:type="dxa"/>
              <w:left w:w="120" w:type="dxa"/>
              <w:right w:w="120" w:type="dxa"/>
            </w:tcMar>
          </w:tcPr>
          <w:p>
            <w:pPr>
              <w:jc w:val="center"/>
            </w:pPr>
            <w:r>
              <w:t>32</w:t>
            </w:r>
          </w:p>
        </w:tc>
      </w:tr>
      <w:tr>
        <w:tc>
          <w:tcPr>
            <w:tcW w:type="dxa" w:w="2890"/>
            <w:tcMar>
              <w:top w:w="80" w:type="dxa"/>
              <w:bottom w:w="80" w:type="dxa"/>
              <w:left w:w="120" w:type="dxa"/>
              <w:right w:w="120" w:type="dxa"/>
            </w:tcMar>
          </w:tcPr>
          <w:p>
            <w:pPr>
              <w:jc w:val="center"/>
            </w:pPr>
            <w:r>
              <w:t>Figure 9.1</w:t>
            </w:r>
          </w:p>
        </w:tc>
        <w:tc>
          <w:tcPr>
            <w:tcW w:type="dxa" w:w="2890"/>
            <w:tcMar>
              <w:top w:w="80" w:type="dxa"/>
              <w:bottom w:w="80" w:type="dxa"/>
              <w:left w:w="120" w:type="dxa"/>
              <w:right w:w="120" w:type="dxa"/>
            </w:tcMar>
          </w:tcPr>
          <w:p>
            <w:r>
              <w:t>Gini Impurity Feature Importance Distribution for Random Forest Classifier</w:t>
            </w:r>
          </w:p>
        </w:tc>
        <w:tc>
          <w:tcPr>
            <w:tcW w:type="dxa" w:w="2890"/>
            <w:tcMar>
              <w:top w:w="80" w:type="dxa"/>
              <w:bottom w:w="80" w:type="dxa"/>
              <w:left w:w="120" w:type="dxa"/>
              <w:right w:w="120" w:type="dxa"/>
            </w:tcMar>
          </w:tcPr>
          <w:p>
            <w:pPr>
              <w:jc w:val="center"/>
            </w:pPr>
            <w:r>
              <w:t>38</w:t>
            </w:r>
          </w:p>
        </w:tc>
      </w:tr>
      <w:tr>
        <w:tc>
          <w:tcPr>
            <w:tcW w:type="dxa" w:w="2890"/>
            <w:tcMar>
              <w:top w:w="80" w:type="dxa"/>
              <w:bottom w:w="80" w:type="dxa"/>
              <w:left w:w="120" w:type="dxa"/>
              <w:right w:w="120" w:type="dxa"/>
            </w:tcMar>
          </w:tcPr>
          <w:p>
            <w:pPr>
              <w:jc w:val="center"/>
            </w:pPr>
            <w:r>
              <w:t>Figure 9.2</w:t>
            </w:r>
          </w:p>
        </w:tc>
        <w:tc>
          <w:tcPr>
            <w:tcW w:type="dxa" w:w="2890"/>
            <w:tcMar>
              <w:top w:w="80" w:type="dxa"/>
              <w:bottom w:w="80" w:type="dxa"/>
              <w:left w:w="120" w:type="dxa"/>
              <w:right w:w="120" w:type="dxa"/>
            </w:tcMar>
          </w:tcPr>
          <w:p>
            <w:r>
              <w:t>Correlation Matrix Heatmap Across Chemical Telemetry and Potability Target</w:t>
            </w:r>
          </w:p>
        </w:tc>
        <w:tc>
          <w:tcPr>
            <w:tcW w:type="dxa" w:w="2890"/>
            <w:tcMar>
              <w:top w:w="80" w:type="dxa"/>
              <w:bottom w:w="80" w:type="dxa"/>
              <w:left w:w="120" w:type="dxa"/>
              <w:right w:w="120" w:type="dxa"/>
            </w:tcMar>
          </w:tcPr>
          <w:p>
            <w:pPr>
              <w:jc w:val="center"/>
            </w:pPr>
            <w:r>
              <w:t>39</w:t>
            </w:r>
          </w:p>
        </w:tc>
      </w:tr>
      <w:tr>
        <w:tc>
          <w:tcPr>
            <w:tcW w:type="dxa" w:w="2890"/>
            <w:tcMar>
              <w:top w:w="80" w:type="dxa"/>
              <w:bottom w:w="80" w:type="dxa"/>
              <w:left w:w="120" w:type="dxa"/>
              <w:right w:w="120" w:type="dxa"/>
            </w:tcMar>
          </w:tcPr>
          <w:p>
            <w:pPr>
              <w:jc w:val="center"/>
            </w:pPr>
            <w:r>
              <w:t>Figure 9.3</w:t>
            </w:r>
          </w:p>
        </w:tc>
        <w:tc>
          <w:tcPr>
            <w:tcW w:type="dxa" w:w="2890"/>
            <w:tcMar>
              <w:top w:w="80" w:type="dxa"/>
              <w:bottom w:w="80" w:type="dxa"/>
              <w:left w:w="120" w:type="dxa"/>
              <w:right w:w="120" w:type="dxa"/>
            </w:tcMar>
          </w:tcPr>
          <w:p>
            <w:r>
              <w:t>Confusion Matrix for Random Forest Model on 80/20 Stratified Holdout Test Partition</w:t>
            </w:r>
          </w:p>
        </w:tc>
        <w:tc>
          <w:tcPr>
            <w:tcW w:type="dxa" w:w="2890"/>
            <w:tcMar>
              <w:top w:w="80" w:type="dxa"/>
              <w:bottom w:w="80" w:type="dxa"/>
              <w:left w:w="120" w:type="dxa"/>
              <w:right w:w="120" w:type="dxa"/>
            </w:tcMar>
          </w:tcPr>
          <w:p>
            <w:pPr>
              <w:jc w:val="center"/>
            </w:pPr>
            <w:r>
              <w:t>40</w:t>
            </w:r>
          </w:p>
        </w:tc>
      </w:tr>
    </w:tbl>
    <w:p>
      <w:pPr>
        <w:pageBreakBefore/>
        <w:spacing w:before="480" w:after="360"/>
        <w:jc w:val="center"/>
      </w:pPr>
      <w:r>
        <w:rPr>
          <w:b/>
          <w:sz w:val="36"/>
        </w:rPr>
        <w:t>LIST OF TABLES</w:t>
      </w:r>
    </w:p>
    <w:p>
      <w:pPr>
        <w:spacing w:before="240" w:after="80"/>
        <w:jc w:val="center"/>
      </w:pPr>
      <w:r>
        <w:rPr>
          <w:rFonts w:ascii="Times New Roman" w:hAnsi="Times New Roman"/>
          <w:b/>
          <w:color w:val="000000"/>
          <w:sz w:val="24"/>
        </w:rPr>
        <w:t>List of Tables</w:t>
      </w:r>
    </w:p>
    <w:tbl>
      <w:tblPr>
        <w:tblW w:type="auto" w:w="0"/>
        <w:jc w:val="center"/>
        <w:tblLook w:firstColumn="1" w:firstRow="1" w:lastColumn="0" w:lastRow="0" w:noHBand="0" w:noVBand="1" w:val="04A0"/>
      </w:tblPr>
      <w:tblGrid>
        <w:gridCol w:w="2890"/>
        <w:gridCol w:w="2890"/>
        <w:gridCol w:w="2890"/>
      </w:tblGrid>
      <w:tr>
        <w:tc>
          <w:tcPr>
            <w:tcW w:type="dxa" w:w="2890"/>
            <w:shd w:fill="0F2043"/>
            <w:tcMar>
              <w:top w:w="80" w:type="dxa"/>
              <w:bottom w:w="80" w:type="dxa"/>
              <w:left w:w="120" w:type="dxa"/>
              <w:right w:w="120" w:type="dxa"/>
            </w:tcMar>
          </w:tcPr>
          <w:p>
            <w:r>
              <w:rPr>
                <w:b/>
                <w:color w:val="FFFFFF"/>
              </w:rPr>
              <w:t>Table No.</w:t>
            </w:r>
          </w:p>
        </w:tc>
        <w:tc>
          <w:tcPr>
            <w:tcW w:type="dxa" w:w="2890"/>
            <w:shd w:fill="0F2043"/>
            <w:tcMar>
              <w:top w:w="80" w:type="dxa"/>
              <w:bottom w:w="80" w:type="dxa"/>
              <w:left w:w="120" w:type="dxa"/>
              <w:right w:w="120" w:type="dxa"/>
            </w:tcMar>
          </w:tcPr>
          <w:p>
            <w:r>
              <w:rPr>
                <w:b/>
                <w:color w:val="FFFFFF"/>
              </w:rPr>
              <w:t>Table Caption</w:t>
            </w:r>
          </w:p>
        </w:tc>
        <w:tc>
          <w:tcPr>
            <w:tcW w:type="dxa" w:w="2890"/>
            <w:shd w:fill="0F2043"/>
            <w:tcMar>
              <w:top w:w="80" w:type="dxa"/>
              <w:bottom w:w="80" w:type="dxa"/>
              <w:left w:w="120" w:type="dxa"/>
              <w:right w:w="120" w:type="dxa"/>
            </w:tcMar>
          </w:tcPr>
          <w:p>
            <w:r>
              <w:rPr>
                <w:b/>
                <w:color w:val="FFFFFF"/>
              </w:rPr>
              <w:t>Page No.</w:t>
            </w:r>
          </w:p>
        </w:tc>
      </w:tr>
      <w:tr>
        <w:tc>
          <w:tcPr>
            <w:tcW w:type="dxa" w:w="2890"/>
            <w:tcMar>
              <w:top w:w="80" w:type="dxa"/>
              <w:bottom w:w="80" w:type="dxa"/>
              <w:left w:w="120" w:type="dxa"/>
              <w:right w:w="120" w:type="dxa"/>
            </w:tcMar>
          </w:tcPr>
          <w:p>
            <w:pPr>
              <w:jc w:val="center"/>
            </w:pPr>
            <w:r>
              <w:t>Table 2.1</w:t>
            </w:r>
          </w:p>
        </w:tc>
        <w:tc>
          <w:tcPr>
            <w:tcW w:type="dxa" w:w="2890"/>
            <w:tcMar>
              <w:top w:w="80" w:type="dxa"/>
              <w:bottom w:w="80" w:type="dxa"/>
              <w:left w:w="120" w:type="dxa"/>
              <w:right w:w="120" w:type="dxa"/>
            </w:tcMar>
          </w:tcPr>
          <w:p>
            <w:r>
              <w:t>Comparative Literature Survey on Environmental Water Quality Prediction</w:t>
            </w:r>
          </w:p>
        </w:tc>
        <w:tc>
          <w:tcPr>
            <w:tcW w:type="dxa" w:w="2890"/>
            <w:tcMar>
              <w:top w:w="80" w:type="dxa"/>
              <w:bottom w:w="80" w:type="dxa"/>
              <w:left w:w="120" w:type="dxa"/>
              <w:right w:w="120" w:type="dxa"/>
            </w:tcMar>
          </w:tcPr>
          <w:p>
            <w:pPr>
              <w:jc w:val="center"/>
            </w:pPr>
            <w:r>
              <w:t>9</w:t>
            </w:r>
          </w:p>
        </w:tc>
      </w:tr>
      <w:tr>
        <w:tc>
          <w:tcPr>
            <w:tcW w:type="dxa" w:w="2890"/>
            <w:tcMar>
              <w:top w:w="80" w:type="dxa"/>
              <w:bottom w:w="80" w:type="dxa"/>
              <w:left w:w="120" w:type="dxa"/>
              <w:right w:w="120" w:type="dxa"/>
            </w:tcMar>
          </w:tcPr>
          <w:p>
            <w:pPr>
              <w:jc w:val="center"/>
            </w:pPr>
            <w:r>
              <w:t>Table 4.1</w:t>
            </w:r>
          </w:p>
        </w:tc>
        <w:tc>
          <w:tcPr>
            <w:tcW w:type="dxa" w:w="2890"/>
            <w:tcMar>
              <w:top w:w="80" w:type="dxa"/>
              <w:bottom w:w="80" w:type="dxa"/>
              <w:left w:w="120" w:type="dxa"/>
              <w:right w:w="120" w:type="dxa"/>
            </w:tcMar>
          </w:tcPr>
          <w:p>
            <w:r>
              <w:t>Physical and Chemical Feature Dictionary and Permissible WHO Drinking Limits</w:t>
            </w:r>
          </w:p>
        </w:tc>
        <w:tc>
          <w:tcPr>
            <w:tcW w:type="dxa" w:w="2890"/>
            <w:tcMar>
              <w:top w:w="80" w:type="dxa"/>
              <w:bottom w:w="80" w:type="dxa"/>
              <w:left w:w="120" w:type="dxa"/>
              <w:right w:w="120" w:type="dxa"/>
            </w:tcMar>
          </w:tcPr>
          <w:p>
            <w:pPr>
              <w:jc w:val="center"/>
            </w:pPr>
            <w:r>
              <w:t>17</w:t>
            </w:r>
          </w:p>
        </w:tc>
      </w:tr>
      <w:tr>
        <w:tc>
          <w:tcPr>
            <w:tcW w:type="dxa" w:w="2890"/>
            <w:tcMar>
              <w:top w:w="80" w:type="dxa"/>
              <w:bottom w:w="80" w:type="dxa"/>
              <w:left w:w="120" w:type="dxa"/>
              <w:right w:w="120" w:type="dxa"/>
            </w:tcMar>
          </w:tcPr>
          <w:p>
            <w:pPr>
              <w:jc w:val="center"/>
            </w:pPr>
            <w:r>
              <w:t>Table 4.2</w:t>
            </w:r>
          </w:p>
        </w:tc>
        <w:tc>
          <w:tcPr>
            <w:tcW w:type="dxa" w:w="2890"/>
            <w:tcMar>
              <w:top w:w="80" w:type="dxa"/>
              <w:bottom w:w="80" w:type="dxa"/>
              <w:left w:w="120" w:type="dxa"/>
              <w:right w:w="120" w:type="dxa"/>
            </w:tcMar>
          </w:tcPr>
          <w:p>
            <w:r>
              <w:t>Missing Value Profiling and Median Imputation Parameters</w:t>
            </w:r>
          </w:p>
        </w:tc>
        <w:tc>
          <w:tcPr>
            <w:tcW w:type="dxa" w:w="2890"/>
            <w:tcMar>
              <w:top w:w="80" w:type="dxa"/>
              <w:bottom w:w="80" w:type="dxa"/>
              <w:left w:w="120" w:type="dxa"/>
              <w:right w:w="120" w:type="dxa"/>
            </w:tcMar>
          </w:tcPr>
          <w:p>
            <w:pPr>
              <w:jc w:val="center"/>
            </w:pPr>
            <w:r>
              <w:t>18</w:t>
            </w:r>
          </w:p>
        </w:tc>
      </w:tr>
      <w:tr>
        <w:tc>
          <w:tcPr>
            <w:tcW w:type="dxa" w:w="2890"/>
            <w:tcMar>
              <w:top w:w="80" w:type="dxa"/>
              <w:bottom w:w="80" w:type="dxa"/>
              <w:left w:w="120" w:type="dxa"/>
              <w:right w:w="120" w:type="dxa"/>
            </w:tcMar>
          </w:tcPr>
          <w:p>
            <w:pPr>
              <w:jc w:val="center"/>
            </w:pPr>
            <w:r>
              <w:t>Table 6.1</w:t>
            </w:r>
          </w:p>
        </w:tc>
        <w:tc>
          <w:tcPr>
            <w:tcW w:type="dxa" w:w="2890"/>
            <w:tcMar>
              <w:top w:w="80" w:type="dxa"/>
              <w:bottom w:w="80" w:type="dxa"/>
              <w:left w:w="120" w:type="dxa"/>
              <w:right w:w="120" w:type="dxa"/>
            </w:tcMar>
          </w:tcPr>
          <w:p>
            <w:r>
              <w:t>Mapping of System Modules, Input Vectors, and Functional Outputs</w:t>
            </w:r>
          </w:p>
        </w:tc>
        <w:tc>
          <w:tcPr>
            <w:tcW w:type="dxa" w:w="2890"/>
            <w:tcMar>
              <w:top w:w="80" w:type="dxa"/>
              <w:bottom w:w="80" w:type="dxa"/>
              <w:left w:w="120" w:type="dxa"/>
              <w:right w:w="120" w:type="dxa"/>
            </w:tcMar>
          </w:tcPr>
          <w:p>
            <w:pPr>
              <w:jc w:val="center"/>
            </w:pPr>
            <w:r>
              <w:t>24</w:t>
            </w:r>
          </w:p>
        </w:tc>
      </w:tr>
      <w:tr>
        <w:tc>
          <w:tcPr>
            <w:tcW w:type="dxa" w:w="2890"/>
            <w:tcMar>
              <w:top w:w="80" w:type="dxa"/>
              <w:bottom w:w="80" w:type="dxa"/>
              <w:left w:w="120" w:type="dxa"/>
              <w:right w:w="120" w:type="dxa"/>
            </w:tcMar>
          </w:tcPr>
          <w:p>
            <w:pPr>
              <w:jc w:val="center"/>
            </w:pPr>
            <w:r>
              <w:t>Table 6.2</w:t>
            </w:r>
          </w:p>
        </w:tc>
        <w:tc>
          <w:tcPr>
            <w:tcW w:type="dxa" w:w="2890"/>
            <w:tcMar>
              <w:top w:w="80" w:type="dxa"/>
              <w:bottom w:w="80" w:type="dxa"/>
              <w:left w:w="120" w:type="dxa"/>
              <w:right w:w="120" w:type="dxa"/>
            </w:tcMar>
          </w:tcPr>
          <w:p>
            <w:r>
              <w:t>Epidemiological Pathogen Vector and Municipal Action Protocol Mapping Rules</w:t>
            </w:r>
          </w:p>
        </w:tc>
        <w:tc>
          <w:tcPr>
            <w:tcW w:type="dxa" w:w="2890"/>
            <w:tcMar>
              <w:top w:w="80" w:type="dxa"/>
              <w:bottom w:w="80" w:type="dxa"/>
              <w:left w:w="120" w:type="dxa"/>
              <w:right w:w="120" w:type="dxa"/>
            </w:tcMar>
          </w:tcPr>
          <w:p>
            <w:pPr>
              <w:jc w:val="center"/>
            </w:pPr>
            <w:r>
              <w:t>27</w:t>
            </w:r>
          </w:p>
        </w:tc>
      </w:tr>
      <w:tr>
        <w:tc>
          <w:tcPr>
            <w:tcW w:type="dxa" w:w="2890"/>
            <w:tcMar>
              <w:top w:w="80" w:type="dxa"/>
              <w:bottom w:w="80" w:type="dxa"/>
              <w:left w:w="120" w:type="dxa"/>
              <w:right w:w="120" w:type="dxa"/>
            </w:tcMar>
          </w:tcPr>
          <w:p>
            <w:pPr>
              <w:jc w:val="center"/>
            </w:pPr>
            <w:r>
              <w:t>Table 9.1</w:t>
            </w:r>
          </w:p>
        </w:tc>
        <w:tc>
          <w:tcPr>
            <w:tcW w:type="dxa" w:w="2890"/>
            <w:tcMar>
              <w:top w:w="80" w:type="dxa"/>
              <w:bottom w:w="80" w:type="dxa"/>
              <w:left w:w="120" w:type="dxa"/>
              <w:right w:w="120" w:type="dxa"/>
            </w:tcMar>
          </w:tcPr>
          <w:p>
            <w:r>
              <w:t>5-Fold Stratified Cross-Validation Performance Across Candidate ML Classifiers</w:t>
            </w:r>
          </w:p>
        </w:tc>
        <w:tc>
          <w:tcPr>
            <w:tcW w:type="dxa" w:w="2890"/>
            <w:tcMar>
              <w:top w:w="80" w:type="dxa"/>
              <w:bottom w:w="80" w:type="dxa"/>
              <w:left w:w="120" w:type="dxa"/>
              <w:right w:w="120" w:type="dxa"/>
            </w:tcMar>
          </w:tcPr>
          <w:p>
            <w:pPr>
              <w:jc w:val="center"/>
            </w:pPr>
            <w:r>
              <w:t>36</w:t>
            </w:r>
          </w:p>
        </w:tc>
      </w:tr>
      <w:tr>
        <w:tc>
          <w:tcPr>
            <w:tcW w:type="dxa" w:w="2890"/>
            <w:tcMar>
              <w:top w:w="80" w:type="dxa"/>
              <w:bottom w:w="80" w:type="dxa"/>
              <w:left w:w="120" w:type="dxa"/>
              <w:right w:w="120" w:type="dxa"/>
            </w:tcMar>
          </w:tcPr>
          <w:p>
            <w:pPr>
              <w:jc w:val="center"/>
            </w:pPr>
            <w:r>
              <w:t>Table 9.2</w:t>
            </w:r>
          </w:p>
        </w:tc>
        <w:tc>
          <w:tcPr>
            <w:tcW w:type="dxa" w:w="2890"/>
            <w:tcMar>
              <w:top w:w="80" w:type="dxa"/>
              <w:bottom w:w="80" w:type="dxa"/>
              <w:left w:w="120" w:type="dxa"/>
              <w:right w:w="120" w:type="dxa"/>
            </w:tcMar>
          </w:tcPr>
          <w:p>
            <w:r>
              <w:t>Detailed Holdout Diagnostic Metrics for Random Forest Classifier</w:t>
            </w:r>
          </w:p>
        </w:tc>
        <w:tc>
          <w:tcPr>
            <w:tcW w:type="dxa" w:w="2890"/>
            <w:tcMar>
              <w:top w:w="80" w:type="dxa"/>
              <w:bottom w:w="80" w:type="dxa"/>
              <w:left w:w="120" w:type="dxa"/>
              <w:right w:w="120" w:type="dxa"/>
            </w:tcMar>
          </w:tcPr>
          <w:p>
            <w:pPr>
              <w:jc w:val="center"/>
            </w:pPr>
            <w:r>
              <w:t>37</w:t>
            </w:r>
          </w:p>
        </w:tc>
      </w:tr>
      <w:tr>
        <w:tc>
          <w:tcPr>
            <w:tcW w:type="dxa" w:w="2890"/>
            <w:tcMar>
              <w:top w:w="80" w:type="dxa"/>
              <w:bottom w:w="80" w:type="dxa"/>
              <w:left w:w="120" w:type="dxa"/>
              <w:right w:w="120" w:type="dxa"/>
            </w:tcMar>
          </w:tcPr>
          <w:p>
            <w:pPr>
              <w:jc w:val="center"/>
            </w:pPr>
            <w:r>
              <w:t>Table 9.3</w:t>
            </w:r>
          </w:p>
        </w:tc>
        <w:tc>
          <w:tcPr>
            <w:tcW w:type="dxa" w:w="2890"/>
            <w:tcMar>
              <w:top w:w="80" w:type="dxa"/>
              <w:bottom w:w="80" w:type="dxa"/>
              <w:left w:w="120" w:type="dxa"/>
              <w:right w:w="120" w:type="dxa"/>
            </w:tcMar>
          </w:tcPr>
          <w:p>
            <w:r>
              <w:t>Gini Feature Importance Ranking and Relative Percentage Attribution</w:t>
            </w:r>
          </w:p>
        </w:tc>
        <w:tc>
          <w:tcPr>
            <w:tcW w:type="dxa" w:w="2890"/>
            <w:tcMar>
              <w:top w:w="80" w:type="dxa"/>
              <w:bottom w:w="80" w:type="dxa"/>
              <w:left w:w="120" w:type="dxa"/>
              <w:right w:w="120" w:type="dxa"/>
            </w:tcMar>
          </w:tcPr>
          <w:p>
            <w:pPr>
              <w:jc w:val="center"/>
            </w:pPr>
            <w:r>
              <w:t>38</w:t>
            </w:r>
          </w:p>
        </w:tc>
      </w:tr>
    </w:tbl>
    <w:p>
      <w:pPr>
        <w:pageBreakBefore/>
        <w:spacing w:before="480" w:after="360"/>
        <w:jc w:val="center"/>
      </w:pPr>
      <w:r>
        <w:rPr>
          <w:b/>
          <w:sz w:val="36"/>
        </w:rPr>
        <w:t>ABBREVIATIONS</w:t>
      </w:r>
    </w:p>
    <w:p>
      <w:pPr>
        <w:spacing w:before="240" w:after="80"/>
        <w:jc w:val="center"/>
      </w:pPr>
      <w:r>
        <w:rPr>
          <w:rFonts w:ascii="Times New Roman" w:hAnsi="Times New Roman"/>
          <w:b/>
          <w:color w:val="000000"/>
          <w:sz w:val="24"/>
        </w:rPr>
        <w:t>List of Abbreviations</w:t>
      </w:r>
    </w:p>
    <w:tbl>
      <w:tblPr>
        <w:tblW w:type="auto" w:w="0"/>
        <w:jc w:val="center"/>
        <w:tblLook w:firstColumn="1" w:firstRow="1" w:lastColumn="0" w:lastRow="0" w:noHBand="0" w:noVBand="1" w:val="04A0"/>
      </w:tblPr>
      <w:tblGrid>
        <w:gridCol w:w="4334"/>
        <w:gridCol w:w="4334"/>
      </w:tblGrid>
      <w:tr>
        <w:tc>
          <w:tcPr>
            <w:tcW w:type="dxa" w:w="4334"/>
            <w:shd w:fill="0F2043"/>
            <w:tcMar>
              <w:top w:w="60" w:type="dxa"/>
              <w:bottom w:w="60" w:type="dxa"/>
              <w:left w:w="120" w:type="dxa"/>
              <w:right w:w="120" w:type="dxa"/>
            </w:tcMar>
          </w:tcPr>
          <w:p>
            <w:r>
              <w:rPr>
                <w:b/>
                <w:color w:val="FFFFFF"/>
              </w:rPr>
              <w:t>Abbreviation</w:t>
            </w:r>
          </w:p>
        </w:tc>
        <w:tc>
          <w:tcPr>
            <w:tcW w:type="dxa" w:w="4334"/>
            <w:shd w:fill="0F2043"/>
            <w:tcMar>
              <w:top w:w="60" w:type="dxa"/>
              <w:bottom w:w="60" w:type="dxa"/>
              <w:left w:w="120" w:type="dxa"/>
              <w:right w:w="120" w:type="dxa"/>
            </w:tcMar>
          </w:tcPr>
          <w:p>
            <w:r>
              <w:rPr>
                <w:b/>
                <w:color w:val="FFFFFF"/>
              </w:rPr>
              <w:t>Full Form</w:t>
            </w:r>
          </w:p>
        </w:tc>
      </w:tr>
      <w:tr>
        <w:tc>
          <w:tcPr>
            <w:tcW w:type="dxa" w:w="4334"/>
            <w:tcMar>
              <w:top w:w="60" w:type="dxa"/>
              <w:bottom w:w="60" w:type="dxa"/>
              <w:left w:w="120" w:type="dxa"/>
              <w:right w:w="120" w:type="dxa"/>
            </w:tcMar>
          </w:tcPr>
          <w:p>
            <w:r>
              <w:t>API</w:t>
            </w:r>
          </w:p>
        </w:tc>
        <w:tc>
          <w:tcPr>
            <w:tcW w:type="dxa" w:w="4334"/>
            <w:tcMar>
              <w:top w:w="60" w:type="dxa"/>
              <w:bottom w:w="60" w:type="dxa"/>
              <w:left w:w="120" w:type="dxa"/>
              <w:right w:w="120" w:type="dxa"/>
            </w:tcMar>
          </w:tcPr>
          <w:p>
            <w:r>
              <w:t>Application Programming Interface</w:t>
            </w:r>
          </w:p>
        </w:tc>
      </w:tr>
      <w:tr>
        <w:tc>
          <w:tcPr>
            <w:tcW w:type="dxa" w:w="4334"/>
            <w:tcMar>
              <w:top w:w="60" w:type="dxa"/>
              <w:bottom w:w="60" w:type="dxa"/>
              <w:left w:w="120" w:type="dxa"/>
              <w:right w:w="120" w:type="dxa"/>
            </w:tcMar>
          </w:tcPr>
          <w:p>
            <w:r>
              <w:t>AUC-ROC</w:t>
            </w:r>
          </w:p>
        </w:tc>
        <w:tc>
          <w:tcPr>
            <w:tcW w:type="dxa" w:w="4334"/>
            <w:tcMar>
              <w:top w:w="60" w:type="dxa"/>
              <w:bottom w:w="60" w:type="dxa"/>
              <w:left w:w="120" w:type="dxa"/>
              <w:right w:w="120" w:type="dxa"/>
            </w:tcMar>
          </w:tcPr>
          <w:p>
            <w:r>
              <w:t>Area Under the Curve - Receiver Operating Characteristic</w:t>
            </w:r>
          </w:p>
        </w:tc>
      </w:tr>
      <w:tr>
        <w:tc>
          <w:tcPr>
            <w:tcW w:type="dxa" w:w="4334"/>
            <w:tcMar>
              <w:top w:w="60" w:type="dxa"/>
              <w:bottom w:w="60" w:type="dxa"/>
              <w:left w:w="120" w:type="dxa"/>
              <w:right w:w="120" w:type="dxa"/>
            </w:tcMar>
          </w:tcPr>
          <w:p>
            <w:r>
              <w:t>CRI</w:t>
            </w:r>
          </w:p>
        </w:tc>
        <w:tc>
          <w:tcPr>
            <w:tcW w:type="dxa" w:w="4334"/>
            <w:tcMar>
              <w:top w:w="60" w:type="dxa"/>
              <w:bottom w:w="60" w:type="dxa"/>
              <w:left w:w="120" w:type="dxa"/>
              <w:right w:w="120" w:type="dxa"/>
            </w:tcMar>
          </w:tcPr>
          <w:p>
            <w:r>
              <w:t>Contamination Risk Index</w:t>
            </w:r>
          </w:p>
        </w:tc>
      </w:tr>
      <w:tr>
        <w:tc>
          <w:tcPr>
            <w:tcW w:type="dxa" w:w="4334"/>
            <w:tcMar>
              <w:top w:w="60" w:type="dxa"/>
              <w:bottom w:w="60" w:type="dxa"/>
              <w:left w:w="120" w:type="dxa"/>
              <w:right w:w="120" w:type="dxa"/>
            </w:tcMar>
          </w:tcPr>
          <w:p>
            <w:r>
              <w:t>CSV</w:t>
            </w:r>
          </w:p>
        </w:tc>
        <w:tc>
          <w:tcPr>
            <w:tcW w:type="dxa" w:w="4334"/>
            <w:tcMar>
              <w:top w:w="60" w:type="dxa"/>
              <w:bottom w:w="60" w:type="dxa"/>
              <w:left w:w="120" w:type="dxa"/>
              <w:right w:w="120" w:type="dxa"/>
            </w:tcMar>
          </w:tcPr>
          <w:p>
            <w:r>
              <w:t>Comma-Separated Values</w:t>
            </w:r>
          </w:p>
        </w:tc>
      </w:tr>
      <w:tr>
        <w:tc>
          <w:tcPr>
            <w:tcW w:type="dxa" w:w="4334"/>
            <w:tcMar>
              <w:top w:w="60" w:type="dxa"/>
              <w:bottom w:w="60" w:type="dxa"/>
              <w:left w:w="120" w:type="dxa"/>
              <w:right w:w="120" w:type="dxa"/>
            </w:tcMar>
          </w:tcPr>
          <w:p>
            <w:r>
              <w:t>CV</w:t>
            </w:r>
          </w:p>
        </w:tc>
        <w:tc>
          <w:tcPr>
            <w:tcW w:type="dxa" w:w="4334"/>
            <w:tcMar>
              <w:top w:w="60" w:type="dxa"/>
              <w:bottom w:w="60" w:type="dxa"/>
              <w:left w:w="120" w:type="dxa"/>
              <w:right w:w="120" w:type="dxa"/>
            </w:tcMar>
          </w:tcPr>
          <w:p>
            <w:r>
              <w:t>Cross-Validation</w:t>
            </w:r>
          </w:p>
        </w:tc>
      </w:tr>
      <w:tr>
        <w:tc>
          <w:tcPr>
            <w:tcW w:type="dxa" w:w="4334"/>
            <w:tcMar>
              <w:top w:w="60" w:type="dxa"/>
              <w:bottom w:w="60" w:type="dxa"/>
              <w:left w:w="120" w:type="dxa"/>
              <w:right w:w="120" w:type="dxa"/>
            </w:tcMar>
          </w:tcPr>
          <w:p>
            <w:r>
              <w:t>EPA</w:t>
            </w:r>
          </w:p>
        </w:tc>
        <w:tc>
          <w:tcPr>
            <w:tcW w:type="dxa" w:w="4334"/>
            <w:tcMar>
              <w:top w:w="60" w:type="dxa"/>
              <w:bottom w:w="60" w:type="dxa"/>
              <w:left w:w="120" w:type="dxa"/>
              <w:right w:w="120" w:type="dxa"/>
            </w:tcMar>
          </w:tcPr>
          <w:p>
            <w:r>
              <w:t>Environmental Protection Agency</w:t>
            </w:r>
          </w:p>
        </w:tc>
      </w:tr>
      <w:tr>
        <w:tc>
          <w:tcPr>
            <w:tcW w:type="dxa" w:w="4334"/>
            <w:tcMar>
              <w:top w:w="60" w:type="dxa"/>
              <w:bottom w:w="60" w:type="dxa"/>
              <w:left w:w="120" w:type="dxa"/>
              <w:right w:w="120" w:type="dxa"/>
            </w:tcMar>
          </w:tcPr>
          <w:p>
            <w:r>
              <w:t>GBDT</w:t>
            </w:r>
          </w:p>
        </w:tc>
        <w:tc>
          <w:tcPr>
            <w:tcW w:type="dxa" w:w="4334"/>
            <w:tcMar>
              <w:top w:w="60" w:type="dxa"/>
              <w:bottom w:w="60" w:type="dxa"/>
              <w:left w:w="120" w:type="dxa"/>
              <w:right w:w="120" w:type="dxa"/>
            </w:tcMar>
          </w:tcPr>
          <w:p>
            <w:r>
              <w:t>Gradient Boosted Decision Trees</w:t>
            </w:r>
          </w:p>
        </w:tc>
      </w:tr>
      <w:tr>
        <w:tc>
          <w:tcPr>
            <w:tcW w:type="dxa" w:w="4334"/>
            <w:tcMar>
              <w:top w:w="60" w:type="dxa"/>
              <w:bottom w:w="60" w:type="dxa"/>
              <w:left w:w="120" w:type="dxa"/>
              <w:right w:w="120" w:type="dxa"/>
            </w:tcMar>
          </w:tcPr>
          <w:p>
            <w:r>
              <w:t>GIS</w:t>
            </w:r>
          </w:p>
        </w:tc>
        <w:tc>
          <w:tcPr>
            <w:tcW w:type="dxa" w:w="4334"/>
            <w:tcMar>
              <w:top w:w="60" w:type="dxa"/>
              <w:bottom w:w="60" w:type="dxa"/>
              <w:left w:w="120" w:type="dxa"/>
              <w:right w:w="120" w:type="dxa"/>
            </w:tcMar>
          </w:tcPr>
          <w:p>
            <w:r>
              <w:t>Geographic Information System</w:t>
            </w:r>
          </w:p>
        </w:tc>
      </w:tr>
      <w:tr>
        <w:tc>
          <w:tcPr>
            <w:tcW w:type="dxa" w:w="4334"/>
            <w:tcMar>
              <w:top w:w="60" w:type="dxa"/>
              <w:bottom w:w="60" w:type="dxa"/>
              <w:left w:w="120" w:type="dxa"/>
              <w:right w:w="120" w:type="dxa"/>
            </w:tcMar>
          </w:tcPr>
          <w:p>
            <w:r>
              <w:t>GPS</w:t>
            </w:r>
          </w:p>
        </w:tc>
        <w:tc>
          <w:tcPr>
            <w:tcW w:type="dxa" w:w="4334"/>
            <w:tcMar>
              <w:top w:w="60" w:type="dxa"/>
              <w:bottom w:w="60" w:type="dxa"/>
              <w:left w:w="120" w:type="dxa"/>
              <w:right w:w="120" w:type="dxa"/>
            </w:tcMar>
          </w:tcPr>
          <w:p>
            <w:r>
              <w:t>Global Positioning System</w:t>
            </w:r>
          </w:p>
        </w:tc>
      </w:tr>
      <w:tr>
        <w:tc>
          <w:tcPr>
            <w:tcW w:type="dxa" w:w="4334"/>
            <w:tcMar>
              <w:top w:w="60" w:type="dxa"/>
              <w:bottom w:w="60" w:type="dxa"/>
              <w:left w:w="120" w:type="dxa"/>
              <w:right w:w="120" w:type="dxa"/>
            </w:tcMar>
          </w:tcPr>
          <w:p>
            <w:r>
              <w:t>GUI</w:t>
            </w:r>
          </w:p>
        </w:tc>
        <w:tc>
          <w:tcPr>
            <w:tcW w:type="dxa" w:w="4334"/>
            <w:tcMar>
              <w:top w:w="60" w:type="dxa"/>
              <w:bottom w:w="60" w:type="dxa"/>
              <w:left w:w="120" w:type="dxa"/>
              <w:right w:w="120" w:type="dxa"/>
            </w:tcMar>
          </w:tcPr>
          <w:p>
            <w:r>
              <w:t>Graphical User Interface</w:t>
            </w:r>
          </w:p>
        </w:tc>
      </w:tr>
      <w:tr>
        <w:tc>
          <w:tcPr>
            <w:tcW w:type="dxa" w:w="4334"/>
            <w:tcMar>
              <w:top w:w="60" w:type="dxa"/>
              <w:bottom w:w="60" w:type="dxa"/>
              <w:left w:w="120" w:type="dxa"/>
              <w:right w:w="120" w:type="dxa"/>
            </w:tcMar>
          </w:tcPr>
          <w:p>
            <w:r>
              <w:t>HTML</w:t>
            </w:r>
          </w:p>
        </w:tc>
        <w:tc>
          <w:tcPr>
            <w:tcW w:type="dxa" w:w="4334"/>
            <w:tcMar>
              <w:top w:w="60" w:type="dxa"/>
              <w:bottom w:w="60" w:type="dxa"/>
              <w:left w:w="120" w:type="dxa"/>
              <w:right w:w="120" w:type="dxa"/>
            </w:tcMar>
          </w:tcPr>
          <w:p>
            <w:r>
              <w:t>HyperText Markup Language</w:t>
            </w:r>
          </w:p>
        </w:tc>
      </w:tr>
      <w:tr>
        <w:tc>
          <w:tcPr>
            <w:tcW w:type="dxa" w:w="4334"/>
            <w:tcMar>
              <w:top w:w="60" w:type="dxa"/>
              <w:bottom w:w="60" w:type="dxa"/>
              <w:left w:w="120" w:type="dxa"/>
              <w:right w:w="120" w:type="dxa"/>
            </w:tcMar>
          </w:tcPr>
          <w:p>
            <w:r>
              <w:t>IEEE</w:t>
            </w:r>
          </w:p>
        </w:tc>
        <w:tc>
          <w:tcPr>
            <w:tcW w:type="dxa" w:w="4334"/>
            <w:tcMar>
              <w:top w:w="60" w:type="dxa"/>
              <w:bottom w:w="60" w:type="dxa"/>
              <w:left w:w="120" w:type="dxa"/>
              <w:right w:w="120" w:type="dxa"/>
            </w:tcMar>
          </w:tcPr>
          <w:p>
            <w:r>
              <w:t>Institute of Electrical and Electronics Engineers</w:t>
            </w:r>
          </w:p>
        </w:tc>
      </w:tr>
      <w:tr>
        <w:tc>
          <w:tcPr>
            <w:tcW w:type="dxa" w:w="4334"/>
            <w:tcMar>
              <w:top w:w="60" w:type="dxa"/>
              <w:bottom w:w="60" w:type="dxa"/>
              <w:left w:w="120" w:type="dxa"/>
              <w:right w:w="120" w:type="dxa"/>
            </w:tcMar>
          </w:tcPr>
          <w:p>
            <w:r>
              <w:t>IoT</w:t>
            </w:r>
          </w:p>
        </w:tc>
        <w:tc>
          <w:tcPr>
            <w:tcW w:type="dxa" w:w="4334"/>
            <w:tcMar>
              <w:top w:w="60" w:type="dxa"/>
              <w:bottom w:w="60" w:type="dxa"/>
              <w:left w:w="120" w:type="dxa"/>
              <w:right w:w="120" w:type="dxa"/>
            </w:tcMar>
          </w:tcPr>
          <w:p>
            <w:r>
              <w:t>Internet of Things</w:t>
            </w:r>
          </w:p>
        </w:tc>
      </w:tr>
      <w:tr>
        <w:tc>
          <w:tcPr>
            <w:tcW w:type="dxa" w:w="4334"/>
            <w:tcMar>
              <w:top w:w="60" w:type="dxa"/>
              <w:bottom w:w="60" w:type="dxa"/>
              <w:left w:w="120" w:type="dxa"/>
              <w:right w:w="120" w:type="dxa"/>
            </w:tcMar>
          </w:tcPr>
          <w:p>
            <w:r>
              <w:t>LR</w:t>
            </w:r>
          </w:p>
        </w:tc>
        <w:tc>
          <w:tcPr>
            <w:tcW w:type="dxa" w:w="4334"/>
            <w:tcMar>
              <w:top w:w="60" w:type="dxa"/>
              <w:bottom w:w="60" w:type="dxa"/>
              <w:left w:w="120" w:type="dxa"/>
              <w:right w:w="120" w:type="dxa"/>
            </w:tcMar>
          </w:tcPr>
          <w:p>
            <w:r>
              <w:t>Logistic Regression</w:t>
            </w:r>
          </w:p>
        </w:tc>
      </w:tr>
      <w:tr>
        <w:tc>
          <w:tcPr>
            <w:tcW w:type="dxa" w:w="4334"/>
            <w:tcMar>
              <w:top w:w="60" w:type="dxa"/>
              <w:bottom w:w="60" w:type="dxa"/>
              <w:left w:w="120" w:type="dxa"/>
              <w:right w:w="120" w:type="dxa"/>
            </w:tcMar>
          </w:tcPr>
          <w:p>
            <w:r>
              <w:t>ML</w:t>
            </w:r>
          </w:p>
        </w:tc>
        <w:tc>
          <w:tcPr>
            <w:tcW w:type="dxa" w:w="4334"/>
            <w:tcMar>
              <w:top w:w="60" w:type="dxa"/>
              <w:bottom w:w="60" w:type="dxa"/>
              <w:left w:w="120" w:type="dxa"/>
              <w:right w:w="120" w:type="dxa"/>
            </w:tcMar>
          </w:tcPr>
          <w:p>
            <w:r>
              <w:t>Machine Learning</w:t>
            </w:r>
          </w:p>
        </w:tc>
      </w:tr>
      <w:tr>
        <w:tc>
          <w:tcPr>
            <w:tcW w:type="dxa" w:w="4334"/>
            <w:tcMar>
              <w:top w:w="60" w:type="dxa"/>
              <w:bottom w:w="60" w:type="dxa"/>
              <w:left w:w="120" w:type="dxa"/>
              <w:right w:w="120" w:type="dxa"/>
            </w:tcMar>
          </w:tcPr>
          <w:p>
            <w:r>
              <w:t>NTU</w:t>
            </w:r>
          </w:p>
        </w:tc>
        <w:tc>
          <w:tcPr>
            <w:tcW w:type="dxa" w:w="4334"/>
            <w:tcMar>
              <w:top w:w="60" w:type="dxa"/>
              <w:bottom w:w="60" w:type="dxa"/>
              <w:left w:w="120" w:type="dxa"/>
              <w:right w:w="120" w:type="dxa"/>
            </w:tcMar>
          </w:tcPr>
          <w:p>
            <w:r>
              <w:t>Nephelometric Turbidity Units</w:t>
            </w:r>
          </w:p>
        </w:tc>
      </w:tr>
      <w:tr>
        <w:tc>
          <w:tcPr>
            <w:tcW w:type="dxa" w:w="4334"/>
            <w:tcMar>
              <w:top w:w="60" w:type="dxa"/>
              <w:bottom w:w="60" w:type="dxa"/>
              <w:left w:w="120" w:type="dxa"/>
              <w:right w:w="120" w:type="dxa"/>
            </w:tcMar>
          </w:tcPr>
          <w:p>
            <w:r>
              <w:t>OOP</w:t>
            </w:r>
          </w:p>
        </w:tc>
        <w:tc>
          <w:tcPr>
            <w:tcW w:type="dxa" w:w="4334"/>
            <w:tcMar>
              <w:top w:w="60" w:type="dxa"/>
              <w:bottom w:w="60" w:type="dxa"/>
              <w:left w:w="120" w:type="dxa"/>
              <w:right w:w="120" w:type="dxa"/>
            </w:tcMar>
          </w:tcPr>
          <w:p>
            <w:r>
              <w:t>Object-Oriented Programming</w:t>
            </w:r>
          </w:p>
        </w:tc>
      </w:tr>
      <w:tr>
        <w:tc>
          <w:tcPr>
            <w:tcW w:type="dxa" w:w="4334"/>
            <w:tcMar>
              <w:top w:w="60" w:type="dxa"/>
              <w:bottom w:w="60" w:type="dxa"/>
              <w:left w:w="120" w:type="dxa"/>
              <w:right w:w="120" w:type="dxa"/>
            </w:tcMar>
          </w:tcPr>
          <w:p>
            <w:r>
              <w:t>PPM</w:t>
            </w:r>
          </w:p>
        </w:tc>
        <w:tc>
          <w:tcPr>
            <w:tcW w:type="dxa" w:w="4334"/>
            <w:tcMar>
              <w:top w:w="60" w:type="dxa"/>
              <w:bottom w:w="60" w:type="dxa"/>
              <w:left w:w="120" w:type="dxa"/>
              <w:right w:w="120" w:type="dxa"/>
            </w:tcMar>
          </w:tcPr>
          <w:p>
            <w:r>
              <w:t>Parts Per Million</w:t>
            </w:r>
          </w:p>
        </w:tc>
      </w:tr>
      <w:tr>
        <w:tc>
          <w:tcPr>
            <w:tcW w:type="dxa" w:w="4334"/>
            <w:tcMar>
              <w:top w:w="60" w:type="dxa"/>
              <w:bottom w:w="60" w:type="dxa"/>
              <w:left w:w="120" w:type="dxa"/>
              <w:right w:w="120" w:type="dxa"/>
            </w:tcMar>
          </w:tcPr>
          <w:p>
            <w:r>
              <w:t>RF</w:t>
            </w:r>
          </w:p>
        </w:tc>
        <w:tc>
          <w:tcPr>
            <w:tcW w:type="dxa" w:w="4334"/>
            <w:tcMar>
              <w:top w:w="60" w:type="dxa"/>
              <w:bottom w:w="60" w:type="dxa"/>
              <w:left w:w="120" w:type="dxa"/>
              <w:right w:w="120" w:type="dxa"/>
            </w:tcMar>
          </w:tcPr>
          <w:p>
            <w:r>
              <w:t>Random Forest</w:t>
            </w:r>
          </w:p>
        </w:tc>
      </w:tr>
      <w:tr>
        <w:tc>
          <w:tcPr>
            <w:tcW w:type="dxa" w:w="4334"/>
            <w:tcMar>
              <w:top w:w="60" w:type="dxa"/>
              <w:bottom w:w="60" w:type="dxa"/>
              <w:left w:w="120" w:type="dxa"/>
              <w:right w:w="120" w:type="dxa"/>
            </w:tcMar>
          </w:tcPr>
          <w:p>
            <w:r>
              <w:t>SDG</w:t>
            </w:r>
          </w:p>
        </w:tc>
        <w:tc>
          <w:tcPr>
            <w:tcW w:type="dxa" w:w="4334"/>
            <w:tcMar>
              <w:top w:w="60" w:type="dxa"/>
              <w:bottom w:w="60" w:type="dxa"/>
              <w:left w:w="120" w:type="dxa"/>
              <w:right w:w="120" w:type="dxa"/>
            </w:tcMar>
          </w:tcPr>
          <w:p>
            <w:r>
              <w:t>Sustainable Development Goal</w:t>
            </w:r>
          </w:p>
        </w:tc>
      </w:tr>
      <w:tr>
        <w:tc>
          <w:tcPr>
            <w:tcW w:type="dxa" w:w="4334"/>
            <w:tcMar>
              <w:top w:w="60" w:type="dxa"/>
              <w:bottom w:w="60" w:type="dxa"/>
              <w:left w:w="120" w:type="dxa"/>
              <w:right w:w="120" w:type="dxa"/>
            </w:tcMar>
          </w:tcPr>
          <w:p>
            <w:r>
              <w:t>SRP</w:t>
            </w:r>
          </w:p>
        </w:tc>
        <w:tc>
          <w:tcPr>
            <w:tcW w:type="dxa" w:w="4334"/>
            <w:tcMar>
              <w:top w:w="60" w:type="dxa"/>
              <w:bottom w:w="60" w:type="dxa"/>
              <w:left w:w="120" w:type="dxa"/>
              <w:right w:w="120" w:type="dxa"/>
            </w:tcMar>
          </w:tcPr>
          <w:p>
            <w:r>
              <w:t>Single Responsibility Principle</w:t>
            </w:r>
          </w:p>
        </w:tc>
      </w:tr>
      <w:tr>
        <w:tc>
          <w:tcPr>
            <w:tcW w:type="dxa" w:w="4334"/>
            <w:tcMar>
              <w:top w:w="60" w:type="dxa"/>
              <w:bottom w:w="60" w:type="dxa"/>
              <w:left w:w="120" w:type="dxa"/>
              <w:right w:w="120" w:type="dxa"/>
            </w:tcMar>
          </w:tcPr>
          <w:p>
            <w:r>
              <w:t>TDS</w:t>
            </w:r>
          </w:p>
        </w:tc>
        <w:tc>
          <w:tcPr>
            <w:tcW w:type="dxa" w:w="4334"/>
            <w:tcMar>
              <w:top w:w="60" w:type="dxa"/>
              <w:bottom w:w="60" w:type="dxa"/>
              <w:left w:w="120" w:type="dxa"/>
              <w:right w:w="120" w:type="dxa"/>
            </w:tcMar>
          </w:tcPr>
          <w:p>
            <w:r>
              <w:t>Total Dissolved Solids</w:t>
            </w:r>
          </w:p>
        </w:tc>
      </w:tr>
      <w:tr>
        <w:tc>
          <w:tcPr>
            <w:tcW w:type="dxa" w:w="4334"/>
            <w:tcMar>
              <w:top w:w="60" w:type="dxa"/>
              <w:bottom w:w="60" w:type="dxa"/>
              <w:left w:w="120" w:type="dxa"/>
              <w:right w:w="120" w:type="dxa"/>
            </w:tcMar>
          </w:tcPr>
          <w:p>
            <w:r>
              <w:t>THM</w:t>
            </w:r>
          </w:p>
        </w:tc>
        <w:tc>
          <w:tcPr>
            <w:tcW w:type="dxa" w:w="4334"/>
            <w:tcMar>
              <w:top w:w="60" w:type="dxa"/>
              <w:bottom w:w="60" w:type="dxa"/>
              <w:left w:w="120" w:type="dxa"/>
              <w:right w:w="120" w:type="dxa"/>
            </w:tcMar>
          </w:tcPr>
          <w:p>
            <w:r>
              <w:t>Trihalomethanes</w:t>
            </w:r>
          </w:p>
        </w:tc>
      </w:tr>
      <w:tr>
        <w:tc>
          <w:tcPr>
            <w:tcW w:type="dxa" w:w="4334"/>
            <w:tcMar>
              <w:top w:w="60" w:type="dxa"/>
              <w:bottom w:w="60" w:type="dxa"/>
              <w:left w:w="120" w:type="dxa"/>
              <w:right w:w="120" w:type="dxa"/>
            </w:tcMar>
          </w:tcPr>
          <w:p>
            <w:r>
              <w:t>UML</w:t>
            </w:r>
          </w:p>
        </w:tc>
        <w:tc>
          <w:tcPr>
            <w:tcW w:type="dxa" w:w="4334"/>
            <w:tcMar>
              <w:top w:w="60" w:type="dxa"/>
              <w:bottom w:w="60" w:type="dxa"/>
              <w:left w:w="120" w:type="dxa"/>
              <w:right w:w="120" w:type="dxa"/>
            </w:tcMar>
          </w:tcPr>
          <w:p>
            <w:r>
              <w:t>Unified Modeling Language</w:t>
            </w:r>
          </w:p>
        </w:tc>
      </w:tr>
      <w:tr>
        <w:tc>
          <w:tcPr>
            <w:tcW w:type="dxa" w:w="4334"/>
            <w:tcMar>
              <w:top w:w="60" w:type="dxa"/>
              <w:bottom w:w="60" w:type="dxa"/>
              <w:left w:w="120" w:type="dxa"/>
              <w:right w:w="120" w:type="dxa"/>
            </w:tcMar>
          </w:tcPr>
          <w:p>
            <w:r>
              <w:t>URL</w:t>
            </w:r>
          </w:p>
        </w:tc>
        <w:tc>
          <w:tcPr>
            <w:tcW w:type="dxa" w:w="4334"/>
            <w:tcMar>
              <w:top w:w="60" w:type="dxa"/>
              <w:bottom w:w="60" w:type="dxa"/>
              <w:left w:w="120" w:type="dxa"/>
              <w:right w:w="120" w:type="dxa"/>
            </w:tcMar>
          </w:tcPr>
          <w:p>
            <w:r>
              <w:t>Uniform Resource Locator</w:t>
            </w:r>
          </w:p>
        </w:tc>
      </w:tr>
      <w:tr>
        <w:tc>
          <w:tcPr>
            <w:tcW w:type="dxa" w:w="4334"/>
            <w:tcMar>
              <w:top w:w="60" w:type="dxa"/>
              <w:bottom w:w="60" w:type="dxa"/>
              <w:left w:w="120" w:type="dxa"/>
              <w:right w:w="120" w:type="dxa"/>
            </w:tcMar>
          </w:tcPr>
          <w:p>
            <w:r>
              <w:t>WHO</w:t>
            </w:r>
          </w:p>
        </w:tc>
        <w:tc>
          <w:tcPr>
            <w:tcW w:type="dxa" w:w="4334"/>
            <w:tcMar>
              <w:top w:w="60" w:type="dxa"/>
              <w:bottom w:w="60" w:type="dxa"/>
              <w:left w:w="120" w:type="dxa"/>
              <w:right w:w="120" w:type="dxa"/>
            </w:tcMar>
          </w:tcPr>
          <w:p>
            <w:r>
              <w:t>World Health Organization</w:t>
            </w:r>
          </w:p>
        </w:tc>
      </w:tr>
    </w:tbl>
    <w:p>
      <w:pPr>
        <w:pageBreakBefore/>
        <w:spacing w:before="360" w:after="360" w:line="360" w:lineRule="auto"/>
        <w:jc w:val="center"/>
      </w:pPr>
      <w:r>
        <w:rPr>
          <w:rFonts w:ascii="Times New Roman" w:hAnsi="Times New Roman"/>
          <w:b/>
          <w:color w:val="000000"/>
          <w:sz w:val="36"/>
        </w:rPr>
        <w:t>CHAPTER 1</w:t>
        <w:br/>
        <w:t>INTRODUCTION</w:t>
      </w:r>
    </w:p>
    <w:p>
      <w:pPr>
        <w:spacing w:before="280" w:after="120" w:line="360" w:lineRule="auto"/>
        <w:jc w:val="left"/>
      </w:pPr>
      <w:r>
        <w:rPr>
          <w:rFonts w:ascii="Times New Roman" w:hAnsi="Times New Roman"/>
          <w:b/>
          <w:color w:val="000000"/>
          <w:sz w:val="32"/>
        </w:rPr>
        <w:t>1.1 Background and Motivation</w:t>
      </w:r>
    </w:p>
    <w:p>
      <w:pPr>
        <w:spacing w:line="360" w:lineRule="auto" w:after="120"/>
        <w:jc w:val="both"/>
      </w:pPr>
      <w:r>
        <w:rPr>
          <w:rFonts w:ascii="Times New Roman" w:hAnsi="Times New Roman"/>
          <w:color w:val="000000"/>
          <w:sz w:val="24"/>
        </w:rPr>
        <w:t>Access to safe, potable drinking water is a fundamental pillar of human survival and economic stability. According to the World Health Organization (WHO), waterborne diarrheal diseases account for approximately 505,000 avoidable fatalities each year, predominantly impacting children under five in developing nations and densely populated urban centers (WHO, 2022). Pathogens such as Vibrio cholerae, Salmonella typhi, and Rotavirus present severe transmission dynamics because minimal bacterial loads in municipal supply networks can trigger exponential contagion events. Traditional water quality assurance protocols rely on periodic manual sampling followed by microbiological laboratory culturing. This standard process exhibits an inherent incubation delay of 24 to 72 hours before pathogenic colonies can be visually enumerated and confirmed on agar plates. Consequently, during the critical 48-hour incubation window, contaminated water continues to be distributed and consumed by residential populations, precipitating acute clinical surges that overwhelm local healthcare centers before municipal advisories are formulated.</w:t>
      </w:r>
    </w:p>
    <w:p>
      <w:pPr>
        <w:spacing w:line="360" w:lineRule="auto" w:after="120"/>
        <w:jc w:val="both"/>
      </w:pPr>
      <w:r>
        <w:rPr>
          <w:rFonts w:ascii="Times New Roman" w:hAnsi="Times New Roman"/>
          <w:color w:val="000000"/>
          <w:sz w:val="24"/>
        </w:rPr>
        <w:t>In contrast, physical and chemical parameters—including potential of hydrogen (pH), electrical conductivity, total dissolved solids (TDS), turbidity, and free/combined chloramines—can be measured instantaneously using modern solid-state digital sensor probes. While individual chemical readings do not directly identify living bacterial cells, multivariate chemical fluctuations reflect environmental precursors that govern bacterial survival, organic infiltration, and disinfectant decay. By deploying machine learning algorithms trained on authentic laboratory water quality data, these instantaneous chemical signatures can serve as an early-warning diagnostic proxy, forecasting outbreak risk scores in real time.</w:t>
      </w:r>
    </w:p>
    <w:p>
      <w:pPr>
        <w:spacing w:before="280" w:after="120" w:line="360" w:lineRule="auto"/>
        <w:jc w:val="left"/>
      </w:pPr>
      <w:r>
        <w:rPr>
          <w:rFonts w:ascii="Times New Roman" w:hAnsi="Times New Roman"/>
          <w:b/>
          <w:color w:val="000000"/>
          <w:sz w:val="32"/>
        </w:rPr>
        <w:t>1.2 Scope and Limitations</w:t>
      </w:r>
    </w:p>
    <w:p>
      <w:pPr>
        <w:spacing w:line="360" w:lineRule="auto" w:after="120"/>
        <w:jc w:val="both"/>
      </w:pPr>
      <w:r>
        <w:rPr>
          <w:rFonts w:ascii="Times New Roman" w:hAnsi="Times New Roman"/>
          <w:color w:val="000000"/>
          <w:sz w:val="24"/>
        </w:rPr>
        <w:t>The scope of this project encompasses the development, statistical validation, and operational deployment of an end-to-end decision-support architecture (PRJ_441) that ingests physical and chemical sensor telemetry, executes domain-driven feature engineering, classifies potability risk, and projects spatial outbreak hazards onto an interactive GIS surveillance dashboard. The predictive pipeline is implemented using Object-Oriented software engineering principles in Python and validated against 3,276 authentic water samples.</w:t>
      </w:r>
    </w:p>
    <w:p>
      <w:pPr>
        <w:spacing w:line="360" w:lineRule="auto" w:after="120"/>
        <w:jc w:val="both"/>
      </w:pPr>
      <w:r>
        <w:rPr>
          <w:rFonts w:ascii="Times New Roman" w:hAnsi="Times New Roman"/>
          <w:color w:val="000000"/>
          <w:sz w:val="24"/>
        </w:rPr>
        <w:t>The project operates within certain realistic technical boundaries. Specifically, the system utilizes chemical and physical telemetry as indirect predictive proxies; it does not replace confirmatory microbiological laboratory assays or perform real-time genetic sequencing of bacterial strains. Furthermore, the GIS monitoring station coordinates in the current prototype represent an urban surveillance grid (Bengaluru telemetry frame) rather than physical hardware-tethered IoT deployments.</w:t>
      </w:r>
    </w:p>
    <w:p>
      <w:pPr>
        <w:spacing w:before="280" w:after="120" w:line="360" w:lineRule="auto"/>
        <w:jc w:val="left"/>
      </w:pPr>
      <w:r>
        <w:rPr>
          <w:rFonts w:ascii="Times New Roman" w:hAnsi="Times New Roman"/>
          <w:b/>
          <w:color w:val="000000"/>
          <w:sz w:val="32"/>
        </w:rPr>
        <w:t>1.3 Problem Statement</w:t>
      </w:r>
    </w:p>
    <w:p>
      <w:pPr>
        <w:spacing w:line="360" w:lineRule="auto" w:after="120"/>
        <w:jc w:val="both"/>
      </w:pPr>
      <w:r>
        <w:rPr>
          <w:rFonts w:ascii="Times New Roman" w:hAnsi="Times New Roman"/>
          <w:color w:val="000000"/>
          <w:sz w:val="24"/>
        </w:rPr>
        <w:t>Traditional waterborne disease detection systems suffer from a critical temporal latency of 24 to 72 hours due to mandatory biological laboratory incubation periods. Municipal water authorities currently lack an automated, real-time early-warning framework capable of detecting multivariate chemical contamination patterns and mapping spatial disease hazard zones before clinical patient admissions escalate. Existing machine learning approaches predominantly treat water potability as an abstract tabular binary classification task, failing to integrate domain-specific contamination indices, spatial epidemiology mapping, or automated municipal emergency action protocols.</w:t>
      </w:r>
    </w:p>
    <w:p>
      <w:pPr>
        <w:spacing w:before="280" w:after="120" w:line="360" w:lineRule="auto"/>
        <w:jc w:val="left"/>
      </w:pPr>
      <w:r>
        <w:rPr>
          <w:rFonts w:ascii="Times New Roman" w:hAnsi="Times New Roman"/>
          <w:b/>
          <w:color w:val="000000"/>
          <w:sz w:val="32"/>
        </w:rPr>
        <w:t>1.4 Motivation</w:t>
      </w:r>
    </w:p>
    <w:p>
      <w:pPr>
        <w:spacing w:line="360" w:lineRule="auto" w:after="120"/>
        <w:jc w:val="both"/>
      </w:pPr>
      <w:r>
        <w:rPr>
          <w:rFonts w:ascii="Times New Roman" w:hAnsi="Times New Roman"/>
          <w:color w:val="000000"/>
          <w:sz w:val="24"/>
        </w:rPr>
        <w:t>The motivation driving this research is the urgent public health imperative to transition from reactive clinical crisis management to proactive municipal environmental surveillance. By leveraging artificial intelligence to interpret rapid chemical sensor telemetry, municipal health boards can receive automated warnings within minutes of contamination ingress. This rapid intervention allows operators to issue localized boil-water advisories and dispatch emergency chlorine booster dosing units to neutralize pathogen transmission, directly advancing United Nations Sustainable Development Goal 3 (Good Health and Well-Being) and Goal 6 (Clean Water and Sanitation).</w:t>
      </w:r>
    </w:p>
    <w:p>
      <w:pPr>
        <w:spacing w:before="280" w:after="120" w:line="360" w:lineRule="auto"/>
        <w:jc w:val="left"/>
      </w:pPr>
      <w:r>
        <w:rPr>
          <w:rFonts w:ascii="Times New Roman" w:hAnsi="Times New Roman"/>
          <w:b/>
          <w:color w:val="000000"/>
          <w:sz w:val="32"/>
        </w:rPr>
        <w:t>1.5 Methodology Overview</w:t>
      </w:r>
    </w:p>
    <w:p>
      <w:pPr>
        <w:spacing w:line="360" w:lineRule="auto" w:after="120"/>
        <w:jc w:val="both"/>
      </w:pPr>
      <w:r>
        <w:rPr>
          <w:rFonts w:ascii="Times New Roman" w:hAnsi="Times New Roman"/>
          <w:color w:val="000000"/>
          <w:sz w:val="24"/>
        </w:rPr>
        <w:t>The methodology is architected into five cohesive tiers: (1) Ingestion and validation of 3,276 water samples from the Kaggle benchmark dataset; (2) Outlier-resistant Median Imputation across 1,434 missing values; (3) Domain feature engineering, including the formulation of the Contamination Risk Index (CRI) and WHO pH Safe Envelope Deviation; (4) Non-linear supervised ensemble classification benchmarked via 5-Fold Stratified Cross-Validation; and (5) Spatial GIS surveillance mapping coupled with an interactive Streamlit web dashboard.</w:t>
      </w:r>
    </w:p>
    <w:p>
      <w:pPr>
        <w:spacing w:before="280" w:after="120" w:line="360" w:lineRule="auto"/>
        <w:jc w:val="left"/>
      </w:pPr>
      <w:r>
        <w:rPr>
          <w:rFonts w:ascii="Times New Roman" w:hAnsi="Times New Roman"/>
          <w:b/>
          <w:color w:val="000000"/>
          <w:sz w:val="32"/>
        </w:rPr>
        <w:t>1.6 Organization of the Report</w:t>
      </w:r>
    </w:p>
    <w:p>
      <w:pPr>
        <w:spacing w:before="200" w:after="80" w:line="360" w:lineRule="auto"/>
        <w:jc w:val="left"/>
      </w:pPr>
      <w:r>
        <w:rPr>
          <w:rFonts w:ascii="Times New Roman" w:hAnsi="Times New Roman"/>
          <w:b/>
          <w:color w:val="000000"/>
          <w:sz w:val="28"/>
        </w:rPr>
        <w:t>1.6.1 Logical Flow of the Research Work</w:t>
      </w:r>
    </w:p>
    <w:p>
      <w:pPr>
        <w:spacing w:line="360" w:lineRule="auto" w:after="120"/>
        <w:jc w:val="both"/>
      </w:pPr>
      <w:r>
        <w:rPr>
          <w:rFonts w:ascii="Times New Roman" w:hAnsi="Times New Roman"/>
          <w:color w:val="000000"/>
          <w:sz w:val="24"/>
        </w:rPr>
        <w:t>The research report progresses methodically from clinical problem formulation and literature analysis to data engineering, mathematical modeling, software architecture, experimental benchmarking, and spatial GIS deployment.</w:t>
      </w:r>
    </w:p>
    <w:p>
      <w:pPr>
        <w:spacing w:before="200" w:after="80" w:line="360" w:lineRule="auto"/>
        <w:jc w:val="left"/>
      </w:pPr>
      <w:r>
        <w:rPr>
          <w:rFonts w:ascii="Times New Roman" w:hAnsi="Times New Roman"/>
          <w:b/>
          <w:color w:val="000000"/>
          <w:sz w:val="28"/>
        </w:rPr>
        <w:t>1.6.2 Contribution Mapping Across Chapters</w:t>
      </w:r>
    </w:p>
    <w:p>
      <w:pPr>
        <w:spacing w:line="360" w:lineRule="auto" w:after="120"/>
        <w:jc w:val="both"/>
      </w:pPr>
      <w:r>
        <w:rPr>
          <w:rFonts w:ascii="Times New Roman" w:hAnsi="Times New Roman"/>
          <w:color w:val="000000"/>
          <w:sz w:val="24"/>
        </w:rPr>
        <w:t>Chapter 2 and Chapter 3 present the literature foundation and articulate the technical gap. Chapter 4 and Chapter 5 delineate the mathematical methodology and measurable objectives. Chapter 6 provides the complete Object-Oriented software design. Chapter 7 and Chapter 8 detail project execution timelines and milestone deliverables. Chapter 9 delivers exhaustive empirical validation and feature attribution, followed by the final conclusion, references, and appendices.</w:t>
      </w:r>
    </w:p>
    <w:p>
      <w:pPr>
        <w:spacing w:before="200" w:after="80" w:line="360" w:lineRule="auto"/>
        <w:jc w:val="left"/>
      </w:pPr>
      <w:r>
        <w:rPr>
          <w:rFonts w:ascii="Times New Roman" w:hAnsi="Times New Roman"/>
          <w:b/>
          <w:color w:val="000000"/>
          <w:sz w:val="28"/>
        </w:rPr>
        <w:t>1.6.3 Chapter Overview Summary</w:t>
      </w:r>
    </w:p>
    <w:p>
      <w:pPr>
        <w:spacing w:line="360" w:lineRule="auto" w:after="120"/>
        <w:jc w:val="both"/>
      </w:pPr>
      <w:r>
        <w:rPr>
          <w:rFonts w:ascii="Times New Roman" w:hAnsi="Times New Roman"/>
          <w:color w:val="000000"/>
          <w:sz w:val="24"/>
        </w:rPr>
        <w:t>Each chapter is self-contained yet sequentially coupled, maintaining full alignment with the University CSS7102 academic standards.</w:t>
      </w:r>
    </w:p>
    <w:p>
      <w:pPr>
        <w:pageBreakBefore/>
        <w:spacing w:before="360" w:after="360" w:line="360" w:lineRule="auto"/>
        <w:jc w:val="center"/>
      </w:pPr>
      <w:r>
        <w:rPr>
          <w:rFonts w:ascii="Times New Roman" w:hAnsi="Times New Roman"/>
          <w:b/>
          <w:color w:val="000000"/>
          <w:sz w:val="36"/>
        </w:rPr>
        <w:t>CHAPTER 2</w:t>
        <w:br/>
        <w:t>LITERATURE REVIEW</w:t>
      </w:r>
    </w:p>
    <w:p>
      <w:pPr>
        <w:spacing w:before="280" w:after="120" w:line="360" w:lineRule="auto"/>
        <w:jc w:val="left"/>
      </w:pPr>
      <w:r>
        <w:rPr>
          <w:rFonts w:ascii="Times New Roman" w:hAnsi="Times New Roman"/>
          <w:b/>
          <w:color w:val="000000"/>
          <w:sz w:val="32"/>
        </w:rPr>
        <w:t>2.1 Introduction to Related Work</w:t>
      </w:r>
    </w:p>
    <w:p>
      <w:pPr>
        <w:spacing w:line="360" w:lineRule="auto" w:after="120"/>
        <w:jc w:val="both"/>
      </w:pPr>
      <w:r>
        <w:rPr>
          <w:rFonts w:ascii="Times New Roman" w:hAnsi="Times New Roman"/>
          <w:color w:val="000000"/>
          <w:sz w:val="24"/>
        </w:rPr>
        <w:t>The interdisciplinary convergence of environmental chemistry, computational epidemiology, and machine learning has garnered significant attention over the past decade. Researchers have increasingly investigated data-driven paradigms to augment or circumvent traditional laboratory testing methodologies, seeking to extract predictive patterns from multivariate sensor arrays.</w:t>
      </w:r>
    </w:p>
    <w:p>
      <w:pPr>
        <w:spacing w:before="280" w:after="120" w:line="360" w:lineRule="auto"/>
        <w:jc w:val="left"/>
      </w:pPr>
      <w:r>
        <w:rPr>
          <w:rFonts w:ascii="Times New Roman" w:hAnsi="Times New Roman"/>
          <w:b/>
          <w:color w:val="000000"/>
          <w:sz w:val="32"/>
        </w:rPr>
        <w:t>2.2 Survey of Existing Systems</w:t>
      </w:r>
    </w:p>
    <w:p>
      <w:pPr>
        <w:spacing w:line="360" w:lineRule="auto" w:after="120"/>
        <w:jc w:val="both"/>
      </w:pPr>
      <w:r>
        <w:rPr>
          <w:rFonts w:ascii="Times New Roman" w:hAnsi="Times New Roman"/>
          <w:color w:val="000000"/>
          <w:sz w:val="24"/>
        </w:rPr>
        <w:t>A rigorous synthesis of key literature is compiled in Table 2.1, outlining the core methodologies, findings, and operational limitations characterizing existing environmental water monitoring frameworks.</w:t>
      </w:r>
    </w:p>
    <w:p>
      <w:pPr>
        <w:spacing w:before="240" w:after="80"/>
        <w:jc w:val="center"/>
      </w:pPr>
      <w:r>
        <w:rPr>
          <w:rFonts w:ascii="Times New Roman" w:hAnsi="Times New Roman"/>
          <w:b/>
          <w:color w:val="000000"/>
          <w:sz w:val="24"/>
        </w:rPr>
        <w:t>Table 2.1: Comparative Literature Survey on Environmental Water Quality Prediction</w:t>
      </w:r>
    </w:p>
    <w:tbl>
      <w:tblPr>
        <w:tblW w:type="auto" w:w="0"/>
        <w:jc w:val="center"/>
        <w:tblLook w:firstColumn="1" w:firstRow="1" w:lastColumn="0" w:lastRow="0" w:noHBand="0" w:noVBand="1" w:val="04A0"/>
      </w:tblPr>
      <w:tblGrid>
        <w:gridCol w:w="2167"/>
        <w:gridCol w:w="2167"/>
        <w:gridCol w:w="2167"/>
        <w:gridCol w:w="2167"/>
      </w:tblGrid>
      <w:tr>
        <w:tc>
          <w:tcPr>
            <w:tcW w:type="dxa" w:w="2167"/>
            <w:shd w:fill="0F2043"/>
            <w:tcMar>
              <w:top w:w="80" w:type="dxa"/>
              <w:bottom w:w="80" w:type="dxa"/>
              <w:left w:w="100" w:type="dxa"/>
              <w:right w:w="100" w:type="dxa"/>
            </w:tcMar>
          </w:tcPr>
          <w:p>
            <w:pPr>
              <w:spacing w:line="276" w:lineRule="auto" w:after="40"/>
            </w:pPr>
            <w:r>
              <w:rPr>
                <w:b/>
                <w:color w:val="FFFFFF"/>
              </w:rPr>
              <w:t>Author &amp; Year</w:t>
            </w:r>
          </w:p>
        </w:tc>
        <w:tc>
          <w:tcPr>
            <w:tcW w:type="dxa" w:w="2167"/>
            <w:shd w:fill="0F2043"/>
            <w:tcMar>
              <w:top w:w="80" w:type="dxa"/>
              <w:bottom w:w="80" w:type="dxa"/>
              <w:left w:w="100" w:type="dxa"/>
              <w:right w:w="100" w:type="dxa"/>
            </w:tcMar>
          </w:tcPr>
          <w:p>
            <w:pPr>
              <w:spacing w:line="276" w:lineRule="auto" w:after="40"/>
            </w:pPr>
            <w:r>
              <w:rPr>
                <w:b/>
                <w:color w:val="FFFFFF"/>
              </w:rPr>
              <w:t>Methodology / Approach</w:t>
            </w:r>
          </w:p>
        </w:tc>
        <w:tc>
          <w:tcPr>
            <w:tcW w:type="dxa" w:w="2167"/>
            <w:shd w:fill="0F2043"/>
            <w:tcMar>
              <w:top w:w="80" w:type="dxa"/>
              <w:bottom w:w="80" w:type="dxa"/>
              <w:left w:w="100" w:type="dxa"/>
              <w:right w:w="100" w:type="dxa"/>
            </w:tcMar>
          </w:tcPr>
          <w:p>
            <w:pPr>
              <w:spacing w:line="276" w:lineRule="auto" w:after="40"/>
            </w:pPr>
            <w:r>
              <w:rPr>
                <w:b/>
                <w:color w:val="FFFFFF"/>
              </w:rPr>
              <w:t>Key Findings &amp; Accuracy</w:t>
            </w:r>
          </w:p>
        </w:tc>
        <w:tc>
          <w:tcPr>
            <w:tcW w:type="dxa" w:w="2167"/>
            <w:shd w:fill="0F2043"/>
            <w:tcMar>
              <w:top w:w="80" w:type="dxa"/>
              <w:bottom w:w="80" w:type="dxa"/>
              <w:left w:w="100" w:type="dxa"/>
              <w:right w:w="100" w:type="dxa"/>
            </w:tcMar>
          </w:tcPr>
          <w:p>
            <w:pPr>
              <w:spacing w:line="276" w:lineRule="auto" w:after="40"/>
            </w:pPr>
            <w:r>
              <w:rPr>
                <w:b/>
                <w:color w:val="FFFFFF"/>
              </w:rPr>
              <w:t>Identified Limitations</w:t>
            </w:r>
          </w:p>
        </w:tc>
      </w:tr>
      <w:tr>
        <w:tc>
          <w:tcPr>
            <w:tcW w:type="dxa" w:w="2167"/>
            <w:tcMar>
              <w:top w:w="80" w:type="dxa"/>
              <w:bottom w:w="80" w:type="dxa"/>
              <w:left w:w="100" w:type="dxa"/>
              <w:right w:w="100" w:type="dxa"/>
            </w:tcMar>
          </w:tcPr>
          <w:p>
            <w:pPr>
              <w:spacing w:line="276" w:lineRule="auto" w:after="40"/>
            </w:pPr>
            <w:r>
              <w:rPr>
                <w:b/>
              </w:rPr>
              <w:t>WHO (2022)</w:t>
            </w:r>
          </w:p>
        </w:tc>
        <w:tc>
          <w:tcPr>
            <w:tcW w:type="dxa" w:w="2167"/>
            <w:tcMar>
              <w:top w:w="80" w:type="dxa"/>
              <w:bottom w:w="80" w:type="dxa"/>
              <w:left w:w="100" w:type="dxa"/>
              <w:right w:w="100" w:type="dxa"/>
            </w:tcMar>
          </w:tcPr>
          <w:p>
            <w:pPr>
              <w:spacing w:line="276" w:lineRule="auto" w:after="40"/>
            </w:pPr>
            <w:r>
              <w:t>Physiological water quality guideline formulation</w:t>
            </w:r>
          </w:p>
        </w:tc>
        <w:tc>
          <w:tcPr>
            <w:tcW w:type="dxa" w:w="2167"/>
            <w:tcMar>
              <w:top w:w="80" w:type="dxa"/>
              <w:bottom w:w="80" w:type="dxa"/>
              <w:left w:w="100" w:type="dxa"/>
              <w:right w:w="100" w:type="dxa"/>
            </w:tcMar>
          </w:tcPr>
          <w:p>
            <w:pPr>
              <w:spacing w:line="276" w:lineRule="auto" w:after="40"/>
            </w:pPr>
            <w:r>
              <w:t>Defined static safety bounds: pH (6.5-8.5), Turbidity (&lt;5 NTU), Chloramines (4 ppm)</w:t>
            </w:r>
          </w:p>
        </w:tc>
        <w:tc>
          <w:tcPr>
            <w:tcW w:type="dxa" w:w="2167"/>
            <w:tcMar>
              <w:top w:w="80" w:type="dxa"/>
              <w:bottom w:w="80" w:type="dxa"/>
              <w:left w:w="100" w:type="dxa"/>
              <w:right w:w="100" w:type="dxa"/>
            </w:tcMar>
          </w:tcPr>
          <w:p>
            <w:pPr>
              <w:spacing w:line="276" w:lineRule="auto" w:after="40"/>
            </w:pPr>
            <w:r>
              <w:t>Univariate static thresholds; fails to model multivariate non-linear chemical interactions</w:t>
            </w:r>
          </w:p>
        </w:tc>
      </w:tr>
      <w:tr>
        <w:tc>
          <w:tcPr>
            <w:tcW w:type="dxa" w:w="2167"/>
            <w:tcMar>
              <w:top w:w="80" w:type="dxa"/>
              <w:bottom w:w="80" w:type="dxa"/>
              <w:left w:w="100" w:type="dxa"/>
              <w:right w:w="100" w:type="dxa"/>
            </w:tcMar>
          </w:tcPr>
          <w:p>
            <w:pPr>
              <w:spacing w:line="276" w:lineRule="auto" w:after="40"/>
            </w:pPr>
            <w:r>
              <w:rPr>
                <w:b/>
              </w:rPr>
              <w:t>Kadiwal (2021)</w:t>
            </w:r>
          </w:p>
        </w:tc>
        <w:tc>
          <w:tcPr>
            <w:tcW w:type="dxa" w:w="2167"/>
            <w:tcMar>
              <w:top w:w="80" w:type="dxa"/>
              <w:bottom w:w="80" w:type="dxa"/>
              <w:left w:w="100" w:type="dxa"/>
              <w:right w:w="100" w:type="dxa"/>
            </w:tcMar>
          </w:tcPr>
          <w:p>
            <w:pPr>
              <w:spacing w:line="276" w:lineRule="auto" w:after="40"/>
            </w:pPr>
            <w:r>
              <w:t>Public Kaggle water potability benchmark repository</w:t>
            </w:r>
          </w:p>
        </w:tc>
        <w:tc>
          <w:tcPr>
            <w:tcW w:type="dxa" w:w="2167"/>
            <w:tcMar>
              <w:top w:w="80" w:type="dxa"/>
              <w:bottom w:w="80" w:type="dxa"/>
              <w:left w:w="100" w:type="dxa"/>
              <w:right w:w="100" w:type="dxa"/>
            </w:tcMar>
          </w:tcPr>
          <w:p>
            <w:pPr>
              <w:spacing w:line="276" w:lineRule="auto" w:after="40"/>
            </w:pPr>
            <w:r>
              <w:t>Curated 3,276 authentic laboratory samples across 9 parameters</w:t>
            </w:r>
          </w:p>
        </w:tc>
        <w:tc>
          <w:tcPr>
            <w:tcW w:type="dxa" w:w="2167"/>
            <w:tcMar>
              <w:top w:w="80" w:type="dxa"/>
              <w:bottom w:w="80" w:type="dxa"/>
              <w:left w:w="100" w:type="dxa"/>
              <w:right w:w="100" w:type="dxa"/>
            </w:tcMar>
          </w:tcPr>
          <w:p>
            <w:pPr>
              <w:spacing w:line="276" w:lineRule="auto" w:after="40"/>
            </w:pPr>
            <w:r>
              <w:t>Presents raw tabular data only; lacks feature engineering and spatial deployment</w:t>
            </w:r>
          </w:p>
        </w:tc>
      </w:tr>
      <w:tr>
        <w:tc>
          <w:tcPr>
            <w:tcW w:type="dxa" w:w="2167"/>
            <w:tcMar>
              <w:top w:w="80" w:type="dxa"/>
              <w:bottom w:w="80" w:type="dxa"/>
              <w:left w:w="100" w:type="dxa"/>
              <w:right w:w="100" w:type="dxa"/>
            </w:tcMar>
          </w:tcPr>
          <w:p>
            <w:pPr>
              <w:spacing w:line="276" w:lineRule="auto" w:after="40"/>
            </w:pPr>
            <w:r>
              <w:rPr>
                <w:b/>
              </w:rPr>
              <w:t>Breiman (2001)</w:t>
            </w:r>
          </w:p>
        </w:tc>
        <w:tc>
          <w:tcPr>
            <w:tcW w:type="dxa" w:w="2167"/>
            <w:tcMar>
              <w:top w:w="80" w:type="dxa"/>
              <w:bottom w:w="80" w:type="dxa"/>
              <w:left w:w="100" w:type="dxa"/>
              <w:right w:w="100" w:type="dxa"/>
            </w:tcMar>
          </w:tcPr>
          <w:p>
            <w:pPr>
              <w:spacing w:line="276" w:lineRule="auto" w:after="40"/>
            </w:pPr>
            <w:r>
              <w:t>Random Forest ensemble decision tree architecture</w:t>
            </w:r>
          </w:p>
        </w:tc>
        <w:tc>
          <w:tcPr>
            <w:tcW w:type="dxa" w:w="2167"/>
            <w:tcMar>
              <w:top w:w="80" w:type="dxa"/>
              <w:bottom w:w="80" w:type="dxa"/>
              <w:left w:w="100" w:type="dxa"/>
              <w:right w:w="100" w:type="dxa"/>
            </w:tcMar>
          </w:tcPr>
          <w:p>
            <w:pPr>
              <w:spacing w:line="276" w:lineRule="auto" w:after="40"/>
            </w:pPr>
            <w:r>
              <w:t>Established Gini impurity reduction and bootstrap aggregation</w:t>
            </w:r>
          </w:p>
        </w:tc>
        <w:tc>
          <w:tcPr>
            <w:tcW w:type="dxa" w:w="2167"/>
            <w:tcMar>
              <w:top w:w="80" w:type="dxa"/>
              <w:bottom w:w="80" w:type="dxa"/>
              <w:left w:w="100" w:type="dxa"/>
              <w:right w:w="100" w:type="dxa"/>
            </w:tcMar>
          </w:tcPr>
          <w:p>
            <w:pPr>
              <w:spacing w:line="276" w:lineRule="auto" w:after="40"/>
            </w:pPr>
            <w:r>
              <w:t>Theoretical algorithm; requires domain-specific hyperparameter tuning for environmental data</w:t>
            </w:r>
          </w:p>
        </w:tc>
      </w:tr>
      <w:tr>
        <w:tc>
          <w:tcPr>
            <w:tcW w:type="dxa" w:w="2167"/>
            <w:tcMar>
              <w:top w:w="80" w:type="dxa"/>
              <w:bottom w:w="80" w:type="dxa"/>
              <w:left w:w="100" w:type="dxa"/>
              <w:right w:w="100" w:type="dxa"/>
            </w:tcMar>
          </w:tcPr>
          <w:p>
            <w:pPr>
              <w:spacing w:line="276" w:lineRule="auto" w:after="40"/>
            </w:pPr>
            <w:r>
              <w:rPr>
                <w:b/>
              </w:rPr>
              <w:t>Pedregosa et al. (2011)</w:t>
            </w:r>
          </w:p>
        </w:tc>
        <w:tc>
          <w:tcPr>
            <w:tcW w:type="dxa" w:w="2167"/>
            <w:tcMar>
              <w:top w:w="80" w:type="dxa"/>
              <w:bottom w:w="80" w:type="dxa"/>
              <w:left w:w="100" w:type="dxa"/>
              <w:right w:w="100" w:type="dxa"/>
            </w:tcMar>
          </w:tcPr>
          <w:p>
            <w:pPr>
              <w:spacing w:line="276" w:lineRule="auto" w:after="40"/>
            </w:pPr>
            <w:r>
              <w:t>Scikit-learn open-source machine learning framework</w:t>
            </w:r>
          </w:p>
        </w:tc>
        <w:tc>
          <w:tcPr>
            <w:tcW w:type="dxa" w:w="2167"/>
            <w:tcMar>
              <w:top w:w="80" w:type="dxa"/>
              <w:bottom w:w="80" w:type="dxa"/>
              <w:left w:w="100" w:type="dxa"/>
              <w:right w:w="100" w:type="dxa"/>
            </w:tcMar>
          </w:tcPr>
          <w:p>
            <w:pPr>
              <w:spacing w:line="276" w:lineRule="auto" w:after="40"/>
            </w:pPr>
            <w:r>
              <w:t>Standardized supervised classification and cross-validation pipelines</w:t>
            </w:r>
          </w:p>
        </w:tc>
        <w:tc>
          <w:tcPr>
            <w:tcW w:type="dxa" w:w="2167"/>
            <w:tcMar>
              <w:top w:w="80" w:type="dxa"/>
              <w:bottom w:w="80" w:type="dxa"/>
              <w:left w:w="100" w:type="dxa"/>
              <w:right w:w="100" w:type="dxa"/>
            </w:tcMar>
          </w:tcPr>
          <w:p>
            <w:pPr>
              <w:spacing w:line="276" w:lineRule="auto" w:after="40"/>
            </w:pPr>
            <w:r>
              <w:t>Provides computational primitives without domain-specific epidemiological logic</w:t>
            </w:r>
          </w:p>
        </w:tc>
      </w:tr>
      <w:tr>
        <w:tc>
          <w:tcPr>
            <w:tcW w:type="dxa" w:w="2167"/>
            <w:tcMar>
              <w:top w:w="80" w:type="dxa"/>
              <w:bottom w:w="80" w:type="dxa"/>
              <w:left w:w="100" w:type="dxa"/>
              <w:right w:w="100" w:type="dxa"/>
            </w:tcMar>
          </w:tcPr>
          <w:p>
            <w:pPr>
              <w:spacing w:line="276" w:lineRule="auto" w:after="40"/>
            </w:pPr>
            <w:r>
              <w:rPr>
                <w:b/>
              </w:rPr>
              <w:t>Saha &amp; Bhowmik (2020)</w:t>
            </w:r>
          </w:p>
        </w:tc>
        <w:tc>
          <w:tcPr>
            <w:tcW w:type="dxa" w:w="2167"/>
            <w:tcMar>
              <w:top w:w="80" w:type="dxa"/>
              <w:bottom w:w="80" w:type="dxa"/>
              <w:left w:w="100" w:type="dxa"/>
              <w:right w:w="100" w:type="dxa"/>
            </w:tcMar>
          </w:tcPr>
          <w:p>
            <w:pPr>
              <w:spacing w:line="276" w:lineRule="auto" w:after="40"/>
            </w:pPr>
            <w:r>
              <w:t>Review of ML algorithms for Water Quality Index (WQI)</w:t>
            </w:r>
          </w:p>
        </w:tc>
        <w:tc>
          <w:tcPr>
            <w:tcW w:type="dxa" w:w="2167"/>
            <w:tcMar>
              <w:top w:w="80" w:type="dxa"/>
              <w:bottom w:w="80" w:type="dxa"/>
              <w:left w:w="100" w:type="dxa"/>
              <w:right w:w="100" w:type="dxa"/>
            </w:tcMar>
          </w:tcPr>
          <w:p>
            <w:pPr>
              <w:spacing w:line="276" w:lineRule="auto" w:after="40"/>
            </w:pPr>
            <w:r>
              <w:t>Reported real-world classification accuracies ranging between 62% and 68%</w:t>
            </w:r>
          </w:p>
        </w:tc>
        <w:tc>
          <w:tcPr>
            <w:tcW w:type="dxa" w:w="2167"/>
            <w:tcMar>
              <w:top w:w="80" w:type="dxa"/>
              <w:bottom w:w="80" w:type="dxa"/>
              <w:left w:w="100" w:type="dxa"/>
              <w:right w:w="100" w:type="dxa"/>
            </w:tcMar>
          </w:tcPr>
          <w:p>
            <w:pPr>
              <w:spacing w:line="276" w:lineRule="auto" w:after="40"/>
            </w:pPr>
            <w:r>
              <w:t>Studies claiming &gt;90% accuracy utilized synthetic data with artificial decision rules</w:t>
            </w:r>
          </w:p>
        </w:tc>
      </w:tr>
      <w:tr>
        <w:tc>
          <w:tcPr>
            <w:tcW w:type="dxa" w:w="2167"/>
            <w:tcMar>
              <w:top w:w="80" w:type="dxa"/>
              <w:bottom w:w="80" w:type="dxa"/>
              <w:left w:w="100" w:type="dxa"/>
              <w:right w:w="100" w:type="dxa"/>
            </w:tcMar>
          </w:tcPr>
          <w:p>
            <w:pPr>
              <w:spacing w:line="276" w:lineRule="auto" w:after="40"/>
            </w:pPr>
            <w:r>
              <w:rPr>
                <w:b/>
              </w:rPr>
              <w:t>Few et al. (2013)</w:t>
            </w:r>
          </w:p>
        </w:tc>
        <w:tc>
          <w:tcPr>
            <w:tcW w:type="dxa" w:w="2167"/>
            <w:tcMar>
              <w:top w:w="80" w:type="dxa"/>
              <w:bottom w:w="80" w:type="dxa"/>
              <w:left w:w="100" w:type="dxa"/>
              <w:right w:w="100" w:type="dxa"/>
            </w:tcMar>
          </w:tcPr>
          <w:p>
            <w:pPr>
              <w:spacing w:line="276" w:lineRule="auto" w:after="40"/>
            </w:pPr>
            <w:r>
              <w:t>Spatial surveillance of flood-induced diarrheal outbreaks</w:t>
            </w:r>
          </w:p>
        </w:tc>
        <w:tc>
          <w:tcPr>
            <w:tcW w:type="dxa" w:w="2167"/>
            <w:tcMar>
              <w:top w:w="80" w:type="dxa"/>
              <w:bottom w:w="80" w:type="dxa"/>
              <w:left w:w="100" w:type="dxa"/>
              <w:right w:w="100" w:type="dxa"/>
            </w:tcMar>
          </w:tcPr>
          <w:p>
            <w:pPr>
              <w:spacing w:line="276" w:lineRule="auto" w:after="40"/>
            </w:pPr>
            <w:r>
              <w:t>Confirmed that physical turbidity spikes precede bacterial contamination surges</w:t>
            </w:r>
          </w:p>
        </w:tc>
        <w:tc>
          <w:tcPr>
            <w:tcW w:type="dxa" w:w="2167"/>
            <w:tcMar>
              <w:top w:w="80" w:type="dxa"/>
              <w:bottom w:w="80" w:type="dxa"/>
              <w:left w:w="100" w:type="dxa"/>
              <w:right w:w="100" w:type="dxa"/>
            </w:tcMar>
          </w:tcPr>
          <w:p>
            <w:pPr>
              <w:spacing w:line="276" w:lineRule="auto" w:after="40"/>
            </w:pPr>
            <w:r>
              <w:t>Retrospective epidemiological mapping; lacked automated predictive intelligence</w:t>
            </w:r>
          </w:p>
        </w:tc>
      </w:tr>
    </w:tbl>
    <w:p>
      <w:pPr>
        <w:spacing w:before="280" w:after="120" w:line="360" w:lineRule="auto"/>
        <w:jc w:val="left"/>
      </w:pPr>
      <w:r>
        <w:rPr>
          <w:rFonts w:ascii="Times New Roman" w:hAnsi="Times New Roman"/>
          <w:b/>
          <w:color w:val="000000"/>
          <w:sz w:val="32"/>
        </w:rPr>
        <w:t>2.3 Research Gaps Identified</w:t>
      </w:r>
    </w:p>
    <w:p>
      <w:pPr>
        <w:spacing w:line="360" w:lineRule="auto" w:after="120"/>
        <w:jc w:val="both"/>
      </w:pPr>
      <w:r>
        <w:rPr>
          <w:rFonts w:ascii="Times New Roman" w:hAnsi="Times New Roman"/>
          <w:color w:val="000000"/>
          <w:sz w:val="24"/>
        </w:rPr>
        <w:t>As established in Table 2.1, prior computational water quality studies exhibit three critical systemic limitations: (1) Reliance on overfitted synthetic datasets that collapse under real-world testing where linear correlations are near zero; (2) Treating classification as an isolated tabular exercise that outputs a binary 0 or 1 without clinical significance; and (3) Complete absence of geographic GIS integration capable of automating localized municipal public health interventions.</w:t>
      </w:r>
    </w:p>
    <w:p>
      <w:pPr>
        <w:spacing w:before="280" w:after="120" w:line="360" w:lineRule="auto"/>
        <w:jc w:val="left"/>
      </w:pPr>
      <w:r>
        <w:rPr>
          <w:rFonts w:ascii="Times New Roman" w:hAnsi="Times New Roman"/>
          <w:b/>
          <w:color w:val="000000"/>
          <w:sz w:val="32"/>
        </w:rPr>
        <w:t>2.4 Objectives of the Study</w:t>
      </w:r>
    </w:p>
    <w:p>
      <w:pPr>
        <w:spacing w:line="360" w:lineRule="auto" w:after="120"/>
        <w:jc w:val="both"/>
      </w:pPr>
      <w:r>
        <w:rPr>
          <w:rFonts w:ascii="Times New Roman" w:hAnsi="Times New Roman"/>
          <w:color w:val="000000"/>
          <w:sz w:val="24"/>
        </w:rPr>
        <w:t>To systematically address these literature gaps, this study establishes five measurable technical objectives: (1) Ingestion and median imputation of 3,276 authentic laboratory samples; (2) Engineering the Contamination Risk Index (CRI) and pH deviation metrics; (3) Benchmarking four supervised classifiers under 5-Fold Stratified Cross-Validation; (4) Extracting Gini feature attribution; and (5) Developing an interactive spatial GIS surveillance engine.</w:t>
      </w:r>
    </w:p>
    <w:p>
      <w:pPr>
        <w:spacing w:before="280" w:after="120" w:line="360" w:lineRule="auto"/>
        <w:jc w:val="left"/>
      </w:pPr>
      <w:r>
        <w:rPr>
          <w:rFonts w:ascii="Times New Roman" w:hAnsi="Times New Roman"/>
          <w:b/>
          <w:color w:val="000000"/>
          <w:sz w:val="32"/>
        </w:rPr>
        <w:t>2.5 Summary</w:t>
      </w:r>
    </w:p>
    <w:p>
      <w:pPr>
        <w:spacing w:line="360" w:lineRule="auto" w:after="120"/>
        <w:jc w:val="both"/>
      </w:pPr>
      <w:r>
        <w:rPr>
          <w:rFonts w:ascii="Times New Roman" w:hAnsi="Times New Roman"/>
          <w:color w:val="000000"/>
          <w:sz w:val="24"/>
        </w:rPr>
        <w:t>The literature survey establishes that while machine learning algorithms have been theoretically demonstrated in environmental modeling, operationalizing real-time early warning requires robust non-linear modeling, domain feature synthesis, and spatial decision-support mapping.</w:t>
      </w:r>
    </w:p>
    <w:p>
      <w:pPr>
        <w:pageBreakBefore/>
        <w:spacing w:before="360" w:after="360" w:line="360" w:lineRule="auto"/>
        <w:jc w:val="center"/>
      </w:pPr>
      <w:r>
        <w:rPr>
          <w:rFonts w:ascii="Times New Roman" w:hAnsi="Times New Roman"/>
          <w:b/>
          <w:color w:val="000000"/>
          <w:sz w:val="36"/>
        </w:rPr>
        <w:t>CHAPTER 3</w:t>
        <w:br/>
        <w:t>RESEARCH GAPS OF EXISTING METHODS</w:t>
      </w:r>
    </w:p>
    <w:p>
      <w:pPr>
        <w:spacing w:line="360" w:lineRule="auto" w:after="120"/>
        <w:jc w:val="both"/>
      </w:pPr>
      <w:r>
        <w:rPr>
          <w:rFonts w:ascii="Times New Roman" w:hAnsi="Times New Roman"/>
          <w:color w:val="000000"/>
          <w:sz w:val="24"/>
        </w:rPr>
        <w:t>A rigorous critical analysis of existing municipal water assurance paradigms reveals profound operational and computational gaps:</w:t>
      </w:r>
    </w:p>
    <w:p>
      <w:pPr>
        <w:pStyle w:val="ListBullet"/>
        <w:spacing w:line="360" w:lineRule="auto" w:after="80"/>
        <w:jc w:val="both"/>
      </w:pPr>
      <w:r>
        <w:rPr>
          <w:rFonts w:ascii="Times New Roman" w:hAnsi="Times New Roman"/>
          <w:b/>
          <w:color w:val="000000"/>
          <w:sz w:val="24"/>
        </w:rPr>
        <w:t xml:space="preserve">1. The 48-Hour Laboratory Incubation Latency: </w:t>
      </w:r>
      <w:r>
        <w:rPr>
          <w:rFonts w:ascii="Times New Roman" w:hAnsi="Times New Roman"/>
          <w:color w:val="000000"/>
          <w:sz w:val="24"/>
        </w:rPr>
        <w:t>Conventional water safety monitoring is fundamentally retrospective. Agar-plate culturing requires 24 to 72 hours for bacterial colony formation. In municipal distribution systems, water travels from central treatment plants to household taps within 2 to 6 hours. Consequently, populations consume pathogen-laden water long before laboratory confirmation is obtained.</w:t>
      </w:r>
    </w:p>
    <w:p>
      <w:pPr>
        <w:pStyle w:val="ListBullet"/>
        <w:spacing w:line="360" w:lineRule="auto" w:after="80"/>
        <w:jc w:val="both"/>
      </w:pPr>
      <w:r>
        <w:rPr>
          <w:rFonts w:ascii="Times New Roman" w:hAnsi="Times New Roman"/>
          <w:b/>
          <w:color w:val="000000"/>
          <w:sz w:val="24"/>
        </w:rPr>
        <w:t xml:space="preserve">2. The Synthetic Data Accuracy Fallacy: </w:t>
      </w:r>
      <w:r>
        <w:rPr>
          <w:rFonts w:ascii="Times New Roman" w:hAnsi="Times New Roman"/>
          <w:color w:val="000000"/>
          <w:sz w:val="24"/>
        </w:rPr>
        <w:t>Numerous published academic projects report machine learning accuracies exceeding 95% on water quality. However, careful auditing reveals that such models were trained on synthetic or artificially simulated datasets where linear decision boundaries were deliberately planted. When evaluated against authentic laboratory datasets (such as the Kaggle potability repository), linear models fail catastrophically because true chemical telemetry exhibits near-zero linear correlation with potability (|r| &lt; 0.07).</w:t>
      </w:r>
    </w:p>
    <w:p>
      <w:pPr>
        <w:pStyle w:val="ListBullet"/>
        <w:spacing w:line="360" w:lineRule="auto" w:after="80"/>
        <w:jc w:val="both"/>
      </w:pPr>
      <w:r>
        <w:rPr>
          <w:rFonts w:ascii="Times New Roman" w:hAnsi="Times New Roman"/>
          <w:b/>
          <w:color w:val="000000"/>
          <w:sz w:val="24"/>
        </w:rPr>
        <w:t xml:space="preserve">3. Absence of Epidemiological Feature Synthesis: </w:t>
      </w:r>
      <w:r>
        <w:rPr>
          <w:rFonts w:ascii="Times New Roman" w:hAnsi="Times New Roman"/>
          <w:color w:val="000000"/>
          <w:sz w:val="24"/>
        </w:rPr>
        <w:t>Standard machine learning pipelines feed raw sensor readings directly into generic algorithms without incorporating domain chemistry. They fail to represent established biochemical interactions—such as the synergistic effect between suspended colloidal turbidity and dissolved organic carbon in shielding pathogens from chlorine disinfection.</w:t>
      </w:r>
    </w:p>
    <w:p>
      <w:pPr>
        <w:pStyle w:val="ListBullet"/>
        <w:spacing w:line="360" w:lineRule="auto" w:after="80"/>
        <w:jc w:val="both"/>
      </w:pPr>
      <w:r>
        <w:rPr>
          <w:rFonts w:ascii="Times New Roman" w:hAnsi="Times New Roman"/>
          <w:b/>
          <w:color w:val="000000"/>
          <w:sz w:val="24"/>
        </w:rPr>
        <w:t xml:space="preserve">4. Lack of Actionable Spatial GIS Integration: </w:t>
      </w:r>
      <w:r>
        <w:rPr>
          <w:rFonts w:ascii="Times New Roman" w:hAnsi="Times New Roman"/>
          <w:color w:val="000000"/>
          <w:sz w:val="24"/>
        </w:rPr>
        <w:t>Existing systems terminate with command-line prints or tabular CSV outputs. A municipal health officer cannot rapidly operationalize a raw binary prediction. Without GIS mapping that links chemical anomalies to specific geographical pipeline nodes, disease vector identification, and automated municipal protocols, predictive modeling remains clinically unutilized.</w:t>
      </w:r>
    </w:p>
    <w:p>
      <w:pPr>
        <w:pageBreakBefore/>
        <w:spacing w:before="360" w:after="360" w:line="360" w:lineRule="auto"/>
        <w:jc w:val="center"/>
      </w:pPr>
      <w:r>
        <w:rPr>
          <w:rFonts w:ascii="Times New Roman" w:hAnsi="Times New Roman"/>
          <w:b/>
          <w:color w:val="000000"/>
          <w:sz w:val="36"/>
        </w:rPr>
        <w:t>CHAPTER 4</w:t>
        <w:br/>
        <w:t>PROPOSED METHODOLOGY</w:t>
      </w:r>
    </w:p>
    <w:p>
      <w:pPr>
        <w:spacing w:before="280" w:after="120" w:line="360" w:lineRule="auto"/>
        <w:jc w:val="left"/>
      </w:pPr>
      <w:r>
        <w:rPr>
          <w:rFonts w:ascii="Times New Roman" w:hAnsi="Times New Roman"/>
          <w:b/>
          <w:color w:val="000000"/>
          <w:sz w:val="32"/>
        </w:rPr>
        <w:t>4.1 Methodology Outline</w:t>
      </w:r>
    </w:p>
    <w:p>
      <w:pPr>
        <w:spacing w:line="360" w:lineRule="auto" w:after="120"/>
        <w:jc w:val="both"/>
      </w:pPr>
      <w:r>
        <w:rPr>
          <w:rFonts w:ascii="Times New Roman" w:hAnsi="Times New Roman"/>
          <w:color w:val="000000"/>
          <w:sz w:val="24"/>
        </w:rPr>
        <w:t>The proposed methodology establishes an integrated, deterministic early-warning framework. Raw laboratory sensor records undergo rigorous median imputation, followed by domain-specific mathematical normalization into a Contamination Risk Index (CRI). A 5-Fold Stratified Cross-Validation protocol benchmarks four supervised classifiers. The best-performing Random Forest model is serialized via joblib and integrated into a real-time Streamlit web dashboard and Folium GIS surveillance engine.</w:t>
      </w:r>
    </w:p>
    <w:p>
      <w:pPr>
        <w:spacing w:before="280" w:after="120" w:line="360" w:lineRule="auto"/>
        <w:jc w:val="left"/>
      </w:pPr>
      <w:r>
        <w:rPr>
          <w:rFonts w:ascii="Times New Roman" w:hAnsi="Times New Roman"/>
          <w:b/>
          <w:color w:val="000000"/>
          <w:sz w:val="32"/>
        </w:rPr>
        <w:t>4.2 Tools, Technologies, Platforms Used</w:t>
      </w:r>
    </w:p>
    <w:p>
      <w:pPr>
        <w:pStyle w:val="ListBullet"/>
        <w:spacing w:line="360" w:lineRule="auto" w:after="80"/>
        <w:jc w:val="both"/>
      </w:pPr>
      <w:r>
        <w:rPr>
          <w:rFonts w:ascii="Times New Roman" w:hAnsi="Times New Roman"/>
          <w:b/>
          <w:color w:val="000000"/>
          <w:sz w:val="24"/>
        </w:rPr>
        <w:t xml:space="preserve">Programming Language &amp; Runtime: </w:t>
      </w:r>
      <w:r>
        <w:rPr>
          <w:rFonts w:ascii="Times New Roman" w:hAnsi="Times New Roman"/>
          <w:color w:val="000000"/>
          <w:sz w:val="24"/>
        </w:rPr>
        <w:t>Python 3.13.2 (64-bit) operating within a local high-performance Windows environment.</w:t>
      </w:r>
    </w:p>
    <w:p>
      <w:pPr>
        <w:pStyle w:val="ListBullet"/>
        <w:spacing w:line="360" w:lineRule="auto" w:after="80"/>
        <w:jc w:val="both"/>
      </w:pPr>
      <w:r>
        <w:rPr>
          <w:rFonts w:ascii="Times New Roman" w:hAnsi="Times New Roman"/>
          <w:b/>
          <w:color w:val="000000"/>
          <w:sz w:val="24"/>
        </w:rPr>
        <w:t xml:space="preserve">Data Engineering &amp; Math Libraries: </w:t>
      </w:r>
      <w:r>
        <w:rPr>
          <w:rFonts w:ascii="Times New Roman" w:hAnsi="Times New Roman"/>
          <w:color w:val="000000"/>
          <w:sz w:val="24"/>
        </w:rPr>
        <w:t>Pandas 2.2.3, NumPy 2.2.4 for vectorized matrix transformations and quantile binning.</w:t>
      </w:r>
    </w:p>
    <w:p>
      <w:pPr>
        <w:pStyle w:val="ListBullet"/>
        <w:spacing w:line="360" w:lineRule="auto" w:after="80"/>
        <w:jc w:val="both"/>
      </w:pPr>
      <w:r>
        <w:rPr>
          <w:rFonts w:ascii="Times New Roman" w:hAnsi="Times New Roman"/>
          <w:b/>
          <w:color w:val="000000"/>
          <w:sz w:val="24"/>
        </w:rPr>
        <w:t xml:space="preserve">Machine Learning Framework: </w:t>
      </w:r>
      <w:r>
        <w:rPr>
          <w:rFonts w:ascii="Times New Roman" w:hAnsi="Times New Roman"/>
          <w:color w:val="000000"/>
          <w:sz w:val="24"/>
        </w:rPr>
        <w:t>Scikit-Learn 1.9.1 for ensemble decision trees, logistic regression, and cross-validation.</w:t>
      </w:r>
    </w:p>
    <w:p>
      <w:pPr>
        <w:pStyle w:val="ListBullet"/>
        <w:spacing w:line="360" w:lineRule="auto" w:after="80"/>
        <w:jc w:val="both"/>
      </w:pPr>
      <w:r>
        <w:rPr>
          <w:rFonts w:ascii="Times New Roman" w:hAnsi="Times New Roman"/>
          <w:b/>
          <w:color w:val="000000"/>
          <w:sz w:val="24"/>
        </w:rPr>
        <w:t xml:space="preserve">Spatial GIS Mapping: </w:t>
      </w:r>
      <w:r>
        <w:rPr>
          <w:rFonts w:ascii="Times New Roman" w:hAnsi="Times New Roman"/>
          <w:color w:val="000000"/>
          <w:sz w:val="24"/>
        </w:rPr>
        <w:t>Folium 0.19.4 leveraging Leaflet.js, CartoDB Voyager CDN, and Esri ArcGIS REST web services.</w:t>
      </w:r>
    </w:p>
    <w:p>
      <w:pPr>
        <w:pStyle w:val="ListBullet"/>
        <w:spacing w:line="360" w:lineRule="auto" w:after="80"/>
        <w:jc w:val="both"/>
      </w:pPr>
      <w:r>
        <w:rPr>
          <w:rFonts w:ascii="Times New Roman" w:hAnsi="Times New Roman"/>
          <w:b/>
          <w:color w:val="000000"/>
          <w:sz w:val="24"/>
        </w:rPr>
        <w:t xml:space="preserve">Web Application Framework: </w:t>
      </w:r>
      <w:r>
        <w:rPr>
          <w:rFonts w:ascii="Times New Roman" w:hAnsi="Times New Roman"/>
          <w:color w:val="000000"/>
          <w:sz w:val="24"/>
        </w:rPr>
        <w:t>Streamlit 1.40.2 providing multi-tab reactive browser user interfaces.</w:t>
      </w:r>
    </w:p>
    <w:p>
      <w:pPr>
        <w:pStyle w:val="ListBullet"/>
        <w:spacing w:line="360" w:lineRule="auto" w:after="80"/>
        <w:jc w:val="both"/>
      </w:pPr>
      <w:r>
        <w:rPr>
          <w:rFonts w:ascii="Times New Roman" w:hAnsi="Times New Roman"/>
          <w:b/>
          <w:color w:val="000000"/>
          <w:sz w:val="24"/>
        </w:rPr>
        <w:t xml:space="preserve">Visualization &amp; Plotting: </w:t>
      </w:r>
      <w:r>
        <w:rPr>
          <w:rFonts w:ascii="Times New Roman" w:hAnsi="Times New Roman"/>
          <w:color w:val="000000"/>
          <w:sz w:val="24"/>
        </w:rPr>
        <w:t>Matplotlib 3.11.2 and Seaborn 0.13.2 for publication-standard diagnostic charts.</w:t>
      </w:r>
    </w:p>
    <w:p>
      <w:pPr>
        <w:pStyle w:val="ListBullet"/>
        <w:spacing w:line="360" w:lineRule="auto" w:after="80"/>
        <w:jc w:val="both"/>
      </w:pPr>
      <w:r>
        <w:rPr>
          <w:rFonts w:ascii="Times New Roman" w:hAnsi="Times New Roman"/>
          <w:b/>
          <w:color w:val="000000"/>
          <w:sz w:val="24"/>
        </w:rPr>
        <w:t xml:space="preserve">Version Control: </w:t>
      </w:r>
      <w:r>
        <w:rPr>
          <w:rFonts w:ascii="Times New Roman" w:hAnsi="Times New Roman"/>
          <w:color w:val="000000"/>
          <w:sz w:val="24"/>
        </w:rPr>
        <w:t>Git 2.45.2 tracking commits on public GitHub (https://github.com/Sriram-012/waterborne-disease-prediction).</w:t>
      </w:r>
    </w:p>
    <w:p>
      <w:pPr>
        <w:spacing w:before="280" w:after="120" w:line="360" w:lineRule="auto"/>
        <w:jc w:val="left"/>
      </w:pPr>
      <w:r>
        <w:rPr>
          <w:rFonts w:ascii="Times New Roman" w:hAnsi="Times New Roman"/>
          <w:b/>
          <w:color w:val="000000"/>
          <w:sz w:val="32"/>
        </w:rPr>
        <w:t>4.3 Proposed Architecture</w:t>
      </w:r>
    </w:p>
    <w:p>
      <w:pPr>
        <w:spacing w:line="360" w:lineRule="auto" w:after="120"/>
        <w:jc w:val="both"/>
      </w:pPr>
      <w:r>
        <w:rPr>
          <w:rFonts w:ascii="Times New Roman" w:hAnsi="Times New Roman"/>
          <w:color w:val="000000"/>
          <w:sz w:val="24"/>
        </w:rPr>
        <w:t>The complete system architecture is structured into five functional tiers, as depicted in Figure 4.1.</w:t>
      </w:r>
    </w:p>
    <w:p>
      <w:pPr>
        <w:spacing w:line="360" w:lineRule="auto" w:after="120"/>
        <w:jc w:val="both"/>
      </w:pPr>
      <w:r>
        <w:rPr>
          <w:rFonts w:ascii="Times New Roman" w:hAnsi="Times New Roman"/>
          <w:color w:val="000000"/>
          <w:sz w:val="24"/>
        </w:rPr>
        <w:t>[Insert Figure 4.1: 5-Tier System Architecture for Waterborne Outbreak Risk Prediction]</w:t>
        <w:br/>
        <w:t>Figure 4.1 illustrates the structural decoupling between data ingestion, outlier-robust median preprocessing, domain feature synthesis, 5-fold ensemble benchmarking, and the spatial GIS decision-support interface.</w:t>
      </w:r>
    </w:p>
    <w:p>
      <w:pPr>
        <w:spacing w:before="80" w:after="240"/>
        <w:jc w:val="center"/>
      </w:pPr>
      <w:r>
        <w:rPr>
          <w:rFonts w:ascii="Times New Roman" w:hAnsi="Times New Roman"/>
          <w:b/>
          <w:color w:val="000000"/>
          <w:sz w:val="24"/>
        </w:rPr>
        <w:t>Figure 4.1: 5-Tier System Architecture for Waterborne Outbreak Risk Prediction</w:t>
      </w:r>
    </w:p>
    <w:p>
      <w:pPr>
        <w:spacing w:before="280" w:after="120" w:line="360" w:lineRule="auto"/>
        <w:jc w:val="left"/>
      </w:pPr>
      <w:r>
        <w:rPr>
          <w:rFonts w:ascii="Times New Roman" w:hAnsi="Times New Roman"/>
          <w:b/>
          <w:color w:val="000000"/>
          <w:sz w:val="32"/>
        </w:rPr>
        <w:t>4.4 Data Collection &amp; Preprocessing</w:t>
      </w:r>
    </w:p>
    <w:p>
      <w:pPr>
        <w:spacing w:before="200" w:after="80" w:line="360" w:lineRule="auto"/>
        <w:jc w:val="left"/>
      </w:pPr>
      <w:r>
        <w:rPr>
          <w:rFonts w:ascii="Times New Roman" w:hAnsi="Times New Roman"/>
          <w:b/>
          <w:color w:val="000000"/>
          <w:sz w:val="28"/>
        </w:rPr>
        <w:t>4.4.1 Data Source and Composition</w:t>
      </w:r>
    </w:p>
    <w:p>
      <w:pPr>
        <w:spacing w:line="360" w:lineRule="auto" w:after="120"/>
        <w:jc w:val="both"/>
      </w:pPr>
      <w:r>
        <w:rPr>
          <w:rFonts w:ascii="Times New Roman" w:hAnsi="Times New Roman"/>
          <w:color w:val="000000"/>
          <w:sz w:val="24"/>
        </w:rPr>
        <w:t>The system utilizes the public Kaggle Water Potability Dataset (Kadiwal, 2021). The repository contains 3,276 independent water samples characterized across 9 continuous physical and chemical features and 1 discrete target (Potability). The physical and chemical parameters and their permissible WHO drinking limits are detailed in Table 4.1.</w:t>
      </w:r>
    </w:p>
    <w:p>
      <w:pPr>
        <w:spacing w:before="240" w:after="80"/>
        <w:jc w:val="center"/>
      </w:pPr>
      <w:r>
        <w:rPr>
          <w:rFonts w:ascii="Times New Roman" w:hAnsi="Times New Roman"/>
          <w:b/>
          <w:color w:val="000000"/>
          <w:sz w:val="24"/>
        </w:rPr>
        <w:t>Table 4.1: Physical and Chemical Feature Dictionary and Permissible WHO Drinking Limits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0F2043"/>
            <w:tcMar>
              <w:top w:w="80" w:type="dxa"/>
              <w:bottom w:w="80" w:type="dxa"/>
              <w:left w:w="100" w:type="dxa"/>
              <w:right w:w="100" w:type="dxa"/>
            </w:tcMar>
          </w:tcPr>
          <w:p>
            <w:pPr>
              <w:spacing w:line="276" w:lineRule="auto" w:after="40"/>
            </w:pPr>
            <w:r>
              <w:rPr>
                <w:b/>
                <w:color w:val="FFFFFF"/>
              </w:rPr>
              <w:t>Feature Name</w:t>
            </w:r>
          </w:p>
        </w:tc>
        <w:tc>
          <w:tcPr>
            <w:tcW w:type="dxa" w:w="1734"/>
            <w:shd w:fill="0F2043"/>
            <w:tcMar>
              <w:top w:w="80" w:type="dxa"/>
              <w:bottom w:w="80" w:type="dxa"/>
              <w:left w:w="100" w:type="dxa"/>
              <w:right w:w="100" w:type="dxa"/>
            </w:tcMar>
          </w:tcPr>
          <w:p>
            <w:pPr>
              <w:spacing w:line="276" w:lineRule="auto" w:after="40"/>
            </w:pPr>
            <w:r>
              <w:rPr>
                <w:b/>
                <w:color w:val="FFFFFF"/>
              </w:rPr>
              <w:t>Data Type</w:t>
            </w:r>
          </w:p>
        </w:tc>
        <w:tc>
          <w:tcPr>
            <w:tcW w:type="dxa" w:w="1734"/>
            <w:shd w:fill="0F2043"/>
            <w:tcMar>
              <w:top w:w="80" w:type="dxa"/>
              <w:bottom w:w="80" w:type="dxa"/>
              <w:left w:w="100" w:type="dxa"/>
              <w:right w:w="100" w:type="dxa"/>
            </w:tcMar>
          </w:tcPr>
          <w:p>
            <w:pPr>
              <w:spacing w:line="276" w:lineRule="auto" w:after="40"/>
            </w:pPr>
            <w:r>
              <w:rPr>
                <w:b/>
                <w:color w:val="FFFFFF"/>
              </w:rPr>
              <w:t>Measurement Unit</w:t>
            </w:r>
          </w:p>
        </w:tc>
        <w:tc>
          <w:tcPr>
            <w:tcW w:type="dxa" w:w="1734"/>
            <w:shd w:fill="0F2043"/>
            <w:tcMar>
              <w:top w:w="80" w:type="dxa"/>
              <w:bottom w:w="80" w:type="dxa"/>
              <w:left w:w="100" w:type="dxa"/>
              <w:right w:w="100" w:type="dxa"/>
            </w:tcMar>
          </w:tcPr>
          <w:p>
            <w:pPr>
              <w:spacing w:line="276" w:lineRule="auto" w:after="40"/>
            </w:pPr>
            <w:r>
              <w:rPr>
                <w:b/>
                <w:color w:val="FFFFFF"/>
              </w:rPr>
              <w:t>Permissible Safe Limit (WHO)</w:t>
            </w:r>
          </w:p>
        </w:tc>
        <w:tc>
          <w:tcPr>
            <w:tcW w:type="dxa" w:w="1734"/>
            <w:shd w:fill="0F2043"/>
            <w:tcMar>
              <w:top w:w="80" w:type="dxa"/>
              <w:bottom w:w="80" w:type="dxa"/>
              <w:left w:w="100" w:type="dxa"/>
              <w:right w:w="100" w:type="dxa"/>
            </w:tcMar>
          </w:tcPr>
          <w:p>
            <w:pPr>
              <w:spacing w:line="276" w:lineRule="auto" w:after="40"/>
            </w:pPr>
            <w:r>
              <w:rPr>
                <w:b/>
                <w:color w:val="FFFFFF"/>
              </w:rPr>
              <w:t>Clinical &amp; Environmental Significance</w:t>
            </w:r>
          </w:p>
        </w:tc>
      </w:tr>
      <w:tr>
        <w:tc>
          <w:tcPr>
            <w:tcW w:type="dxa" w:w="1734"/>
            <w:tcMar>
              <w:top w:w="80" w:type="dxa"/>
              <w:bottom w:w="80" w:type="dxa"/>
              <w:left w:w="100" w:type="dxa"/>
              <w:right w:w="100" w:type="dxa"/>
            </w:tcMar>
          </w:tcPr>
          <w:p>
            <w:pPr>
              <w:spacing w:line="276" w:lineRule="auto" w:after="40"/>
            </w:pPr>
            <w:r>
              <w:rPr>
                <w:b/>
              </w:rPr>
              <w:t>ph</w:t>
            </w:r>
          </w:p>
        </w:tc>
        <w:tc>
          <w:tcPr>
            <w:tcW w:type="dxa" w:w="1734"/>
            <w:tcMar>
              <w:top w:w="80" w:type="dxa"/>
              <w:bottom w:w="80" w:type="dxa"/>
              <w:left w:w="100" w:type="dxa"/>
              <w:right w:w="100" w:type="dxa"/>
            </w:tcMar>
          </w:tcPr>
          <w:p>
            <w:pPr>
              <w:spacing w:line="276" w:lineRule="auto" w:after="40"/>
            </w:pPr>
            <w:r>
              <w:t>Float64</w:t>
            </w:r>
          </w:p>
        </w:tc>
        <w:tc>
          <w:tcPr>
            <w:tcW w:type="dxa" w:w="1734"/>
            <w:tcMar>
              <w:top w:w="80" w:type="dxa"/>
              <w:bottom w:w="80" w:type="dxa"/>
              <w:left w:w="100" w:type="dxa"/>
              <w:right w:w="100" w:type="dxa"/>
            </w:tcMar>
          </w:tcPr>
          <w:p>
            <w:pPr>
              <w:spacing w:line="276" w:lineRule="auto" w:after="40"/>
            </w:pPr>
            <w:r>
              <w:t>pH Units (0-14)</w:t>
            </w:r>
          </w:p>
        </w:tc>
        <w:tc>
          <w:tcPr>
            <w:tcW w:type="dxa" w:w="1734"/>
            <w:tcMar>
              <w:top w:w="80" w:type="dxa"/>
              <w:bottom w:w="80" w:type="dxa"/>
              <w:left w:w="100" w:type="dxa"/>
              <w:right w:w="100" w:type="dxa"/>
            </w:tcMar>
          </w:tcPr>
          <w:p>
            <w:pPr>
              <w:spacing w:line="276" w:lineRule="auto" w:after="40"/>
            </w:pPr>
            <w:r>
              <w:t>6.5 to 8.5</w:t>
            </w:r>
          </w:p>
        </w:tc>
        <w:tc>
          <w:tcPr>
            <w:tcW w:type="dxa" w:w="1734"/>
            <w:tcMar>
              <w:top w:w="80" w:type="dxa"/>
              <w:bottom w:w="80" w:type="dxa"/>
              <w:left w:w="100" w:type="dxa"/>
              <w:right w:w="100" w:type="dxa"/>
            </w:tcMar>
          </w:tcPr>
          <w:p>
            <w:pPr>
              <w:spacing w:line="276" w:lineRule="auto" w:after="40"/>
            </w:pPr>
            <w:r>
              <w:t>Controls chemical speciation and pipe corrosion. Extreme values damage mucous membranes.</w:t>
            </w:r>
          </w:p>
        </w:tc>
      </w:tr>
      <w:tr>
        <w:tc>
          <w:tcPr>
            <w:tcW w:type="dxa" w:w="1734"/>
            <w:tcMar>
              <w:top w:w="80" w:type="dxa"/>
              <w:bottom w:w="80" w:type="dxa"/>
              <w:left w:w="100" w:type="dxa"/>
              <w:right w:w="100" w:type="dxa"/>
            </w:tcMar>
          </w:tcPr>
          <w:p>
            <w:pPr>
              <w:spacing w:line="276" w:lineRule="auto" w:after="40"/>
            </w:pPr>
            <w:r>
              <w:rPr>
                <w:b/>
              </w:rPr>
              <w:t>Hardness</w:t>
            </w:r>
          </w:p>
        </w:tc>
        <w:tc>
          <w:tcPr>
            <w:tcW w:type="dxa" w:w="1734"/>
            <w:tcMar>
              <w:top w:w="80" w:type="dxa"/>
              <w:bottom w:w="80" w:type="dxa"/>
              <w:left w:w="100" w:type="dxa"/>
              <w:right w:w="100" w:type="dxa"/>
            </w:tcMar>
          </w:tcPr>
          <w:p>
            <w:pPr>
              <w:spacing w:line="276" w:lineRule="auto" w:after="40"/>
            </w:pPr>
            <w:r>
              <w:t>Float64</w:t>
            </w:r>
          </w:p>
        </w:tc>
        <w:tc>
          <w:tcPr>
            <w:tcW w:type="dxa" w:w="1734"/>
            <w:tcMar>
              <w:top w:w="80" w:type="dxa"/>
              <w:bottom w:w="80" w:type="dxa"/>
              <w:left w:w="100" w:type="dxa"/>
              <w:right w:w="100" w:type="dxa"/>
            </w:tcMar>
          </w:tcPr>
          <w:p>
            <w:pPr>
              <w:spacing w:line="276" w:lineRule="auto" w:after="40"/>
            </w:pPr>
            <w:r>
              <w:t>mg/L</w:t>
            </w:r>
          </w:p>
        </w:tc>
        <w:tc>
          <w:tcPr>
            <w:tcW w:type="dxa" w:w="1734"/>
            <w:tcMar>
              <w:top w:w="80" w:type="dxa"/>
              <w:bottom w:w="80" w:type="dxa"/>
              <w:left w:w="100" w:type="dxa"/>
              <w:right w:w="100" w:type="dxa"/>
            </w:tcMar>
          </w:tcPr>
          <w:p>
            <w:pPr>
              <w:spacing w:line="276" w:lineRule="auto" w:after="40"/>
            </w:pPr>
            <w:r>
              <w:t>200 to 300 mg/L</w:t>
            </w:r>
          </w:p>
        </w:tc>
        <w:tc>
          <w:tcPr>
            <w:tcW w:type="dxa" w:w="1734"/>
            <w:tcMar>
              <w:top w:w="80" w:type="dxa"/>
              <w:bottom w:w="80" w:type="dxa"/>
              <w:left w:w="100" w:type="dxa"/>
              <w:right w:w="100" w:type="dxa"/>
            </w:tcMar>
          </w:tcPr>
          <w:p>
            <w:pPr>
              <w:spacing w:line="276" w:lineRule="auto" w:after="40"/>
            </w:pPr>
            <w:r>
              <w:t>Calcium and magnesium carbonate concentration. Excess causes scaling; deficiency causes corrosion.</w:t>
            </w:r>
          </w:p>
        </w:tc>
      </w:tr>
      <w:tr>
        <w:tc>
          <w:tcPr>
            <w:tcW w:type="dxa" w:w="1734"/>
            <w:tcMar>
              <w:top w:w="80" w:type="dxa"/>
              <w:bottom w:w="80" w:type="dxa"/>
              <w:left w:w="100" w:type="dxa"/>
              <w:right w:w="100" w:type="dxa"/>
            </w:tcMar>
          </w:tcPr>
          <w:p>
            <w:pPr>
              <w:spacing w:line="276" w:lineRule="auto" w:after="40"/>
            </w:pPr>
            <w:r>
              <w:rPr>
                <w:b/>
              </w:rPr>
              <w:t>Solids (TDS)</w:t>
            </w:r>
          </w:p>
        </w:tc>
        <w:tc>
          <w:tcPr>
            <w:tcW w:type="dxa" w:w="1734"/>
            <w:tcMar>
              <w:top w:w="80" w:type="dxa"/>
              <w:bottom w:w="80" w:type="dxa"/>
              <w:left w:w="100" w:type="dxa"/>
              <w:right w:w="100" w:type="dxa"/>
            </w:tcMar>
          </w:tcPr>
          <w:p>
            <w:pPr>
              <w:spacing w:line="276" w:lineRule="auto" w:after="40"/>
            </w:pPr>
            <w:r>
              <w:t>Float64</w:t>
            </w:r>
          </w:p>
        </w:tc>
        <w:tc>
          <w:tcPr>
            <w:tcW w:type="dxa" w:w="1734"/>
            <w:tcMar>
              <w:top w:w="80" w:type="dxa"/>
              <w:bottom w:w="80" w:type="dxa"/>
              <w:left w:w="100" w:type="dxa"/>
              <w:right w:w="100" w:type="dxa"/>
            </w:tcMar>
          </w:tcPr>
          <w:p>
            <w:pPr>
              <w:spacing w:line="276" w:lineRule="auto" w:after="40"/>
            </w:pPr>
            <w:r>
              <w:t>ppm (mg/L)</w:t>
            </w:r>
          </w:p>
        </w:tc>
        <w:tc>
          <w:tcPr>
            <w:tcW w:type="dxa" w:w="1734"/>
            <w:tcMar>
              <w:top w:w="80" w:type="dxa"/>
              <w:bottom w:w="80" w:type="dxa"/>
              <w:left w:w="100" w:type="dxa"/>
              <w:right w:w="100" w:type="dxa"/>
            </w:tcMar>
          </w:tcPr>
          <w:p>
            <w:pPr>
              <w:spacing w:line="276" w:lineRule="auto" w:after="40"/>
            </w:pPr>
            <w:r>
              <w:t>&lt; 500 ppm</w:t>
            </w:r>
          </w:p>
        </w:tc>
        <w:tc>
          <w:tcPr>
            <w:tcW w:type="dxa" w:w="1734"/>
            <w:tcMar>
              <w:top w:w="80" w:type="dxa"/>
              <w:bottom w:w="80" w:type="dxa"/>
              <w:left w:w="100" w:type="dxa"/>
              <w:right w:w="100" w:type="dxa"/>
            </w:tcMar>
          </w:tcPr>
          <w:p>
            <w:pPr>
              <w:spacing w:line="276" w:lineRule="auto" w:after="40"/>
            </w:pPr>
            <w:r>
              <w:t>Total dissolved mineral matter. High TDS alters taste and indicates chemical runoff.</w:t>
            </w:r>
          </w:p>
        </w:tc>
      </w:tr>
      <w:tr>
        <w:tc>
          <w:tcPr>
            <w:tcW w:type="dxa" w:w="1734"/>
            <w:tcMar>
              <w:top w:w="80" w:type="dxa"/>
              <w:bottom w:w="80" w:type="dxa"/>
              <w:left w:w="100" w:type="dxa"/>
              <w:right w:w="100" w:type="dxa"/>
            </w:tcMar>
          </w:tcPr>
          <w:p>
            <w:pPr>
              <w:spacing w:line="276" w:lineRule="auto" w:after="40"/>
            </w:pPr>
            <w:r>
              <w:rPr>
                <w:b/>
              </w:rPr>
              <w:t>Chloramines</w:t>
            </w:r>
          </w:p>
        </w:tc>
        <w:tc>
          <w:tcPr>
            <w:tcW w:type="dxa" w:w="1734"/>
            <w:tcMar>
              <w:top w:w="80" w:type="dxa"/>
              <w:bottom w:w="80" w:type="dxa"/>
              <w:left w:w="100" w:type="dxa"/>
              <w:right w:w="100" w:type="dxa"/>
            </w:tcMar>
          </w:tcPr>
          <w:p>
            <w:pPr>
              <w:spacing w:line="276" w:lineRule="auto" w:after="40"/>
            </w:pPr>
            <w:r>
              <w:t>Float64</w:t>
            </w:r>
          </w:p>
        </w:tc>
        <w:tc>
          <w:tcPr>
            <w:tcW w:type="dxa" w:w="1734"/>
            <w:tcMar>
              <w:top w:w="80" w:type="dxa"/>
              <w:bottom w:w="80" w:type="dxa"/>
              <w:left w:w="100" w:type="dxa"/>
              <w:right w:w="100" w:type="dxa"/>
            </w:tcMar>
          </w:tcPr>
          <w:p>
            <w:pPr>
              <w:spacing w:line="276" w:lineRule="auto" w:after="40"/>
            </w:pPr>
            <w:r>
              <w:t>ppm (mg/L)</w:t>
            </w:r>
          </w:p>
        </w:tc>
        <w:tc>
          <w:tcPr>
            <w:tcW w:type="dxa" w:w="1734"/>
            <w:tcMar>
              <w:top w:w="80" w:type="dxa"/>
              <w:bottom w:w="80" w:type="dxa"/>
              <w:left w:w="100" w:type="dxa"/>
              <w:right w:w="100" w:type="dxa"/>
            </w:tcMar>
          </w:tcPr>
          <w:p>
            <w:pPr>
              <w:spacing w:line="276" w:lineRule="auto" w:after="40"/>
            </w:pPr>
            <w:r>
              <w:t>Up to 4.0 ppm</w:t>
            </w:r>
          </w:p>
        </w:tc>
        <w:tc>
          <w:tcPr>
            <w:tcW w:type="dxa" w:w="1734"/>
            <w:tcMar>
              <w:top w:w="80" w:type="dxa"/>
              <w:bottom w:w="80" w:type="dxa"/>
              <w:left w:w="100" w:type="dxa"/>
              <w:right w:w="100" w:type="dxa"/>
            </w:tcMar>
          </w:tcPr>
          <w:p>
            <w:pPr>
              <w:spacing w:line="276" w:lineRule="auto" w:after="40"/>
            </w:pPr>
            <w:r>
              <w:t>Secondary chemical disinfectant. Levels &lt;4.0 ppm allow secondary bacterial regrowth in pipes.</w:t>
            </w:r>
          </w:p>
        </w:tc>
      </w:tr>
      <w:tr>
        <w:tc>
          <w:tcPr>
            <w:tcW w:type="dxa" w:w="1734"/>
            <w:tcMar>
              <w:top w:w="80" w:type="dxa"/>
              <w:bottom w:w="80" w:type="dxa"/>
              <w:left w:w="100" w:type="dxa"/>
              <w:right w:w="100" w:type="dxa"/>
            </w:tcMar>
          </w:tcPr>
          <w:p>
            <w:pPr>
              <w:spacing w:line="276" w:lineRule="auto" w:after="40"/>
            </w:pPr>
            <w:r>
              <w:rPr>
                <w:b/>
              </w:rPr>
              <w:t>Sulfate</w:t>
            </w:r>
          </w:p>
        </w:tc>
        <w:tc>
          <w:tcPr>
            <w:tcW w:type="dxa" w:w="1734"/>
            <w:tcMar>
              <w:top w:w="80" w:type="dxa"/>
              <w:bottom w:w="80" w:type="dxa"/>
              <w:left w:w="100" w:type="dxa"/>
              <w:right w:w="100" w:type="dxa"/>
            </w:tcMar>
          </w:tcPr>
          <w:p>
            <w:pPr>
              <w:spacing w:line="276" w:lineRule="auto" w:after="40"/>
            </w:pPr>
            <w:r>
              <w:t>Float64</w:t>
            </w:r>
          </w:p>
        </w:tc>
        <w:tc>
          <w:tcPr>
            <w:tcW w:type="dxa" w:w="1734"/>
            <w:tcMar>
              <w:top w:w="80" w:type="dxa"/>
              <w:bottom w:w="80" w:type="dxa"/>
              <w:left w:w="100" w:type="dxa"/>
              <w:right w:w="100" w:type="dxa"/>
            </w:tcMar>
          </w:tcPr>
          <w:p>
            <w:pPr>
              <w:spacing w:line="276" w:lineRule="auto" w:after="40"/>
            </w:pPr>
            <w:r>
              <w:t>mg/L</w:t>
            </w:r>
          </w:p>
        </w:tc>
        <w:tc>
          <w:tcPr>
            <w:tcW w:type="dxa" w:w="1734"/>
            <w:tcMar>
              <w:top w:w="80" w:type="dxa"/>
              <w:bottom w:w="80" w:type="dxa"/>
              <w:left w:w="100" w:type="dxa"/>
              <w:right w:w="100" w:type="dxa"/>
            </w:tcMar>
          </w:tcPr>
          <w:p>
            <w:pPr>
              <w:spacing w:line="276" w:lineRule="auto" w:after="40"/>
            </w:pPr>
            <w:r>
              <w:t>&lt; 250 mg/L</w:t>
            </w:r>
          </w:p>
        </w:tc>
        <w:tc>
          <w:tcPr>
            <w:tcW w:type="dxa" w:w="1734"/>
            <w:tcMar>
              <w:top w:w="80" w:type="dxa"/>
              <w:bottom w:w="80" w:type="dxa"/>
              <w:left w:w="100" w:type="dxa"/>
              <w:right w:w="100" w:type="dxa"/>
            </w:tcMar>
          </w:tcPr>
          <w:p>
            <w:pPr>
              <w:spacing w:line="276" w:lineRule="auto" w:after="40"/>
            </w:pPr>
            <w:r>
              <w:t>Mineral salt from geological runoff. Concentrations &gt;350 mg/L trigger acute osmotic diarrhea.</w:t>
            </w:r>
          </w:p>
        </w:tc>
      </w:tr>
      <w:tr>
        <w:tc>
          <w:tcPr>
            <w:tcW w:type="dxa" w:w="1734"/>
            <w:tcMar>
              <w:top w:w="80" w:type="dxa"/>
              <w:bottom w:w="80" w:type="dxa"/>
              <w:left w:w="100" w:type="dxa"/>
              <w:right w:w="100" w:type="dxa"/>
            </w:tcMar>
          </w:tcPr>
          <w:p>
            <w:pPr>
              <w:spacing w:line="276" w:lineRule="auto" w:after="40"/>
            </w:pPr>
            <w:r>
              <w:rPr>
                <w:b/>
              </w:rPr>
              <w:t>Conductivity</w:t>
            </w:r>
          </w:p>
        </w:tc>
        <w:tc>
          <w:tcPr>
            <w:tcW w:type="dxa" w:w="1734"/>
            <w:tcMar>
              <w:top w:w="80" w:type="dxa"/>
              <w:bottom w:w="80" w:type="dxa"/>
              <w:left w:w="100" w:type="dxa"/>
              <w:right w:w="100" w:type="dxa"/>
            </w:tcMar>
          </w:tcPr>
          <w:p>
            <w:pPr>
              <w:spacing w:line="276" w:lineRule="auto" w:after="40"/>
            </w:pPr>
            <w:r>
              <w:t>Float64</w:t>
            </w:r>
          </w:p>
        </w:tc>
        <w:tc>
          <w:tcPr>
            <w:tcW w:type="dxa" w:w="1734"/>
            <w:tcMar>
              <w:top w:w="80" w:type="dxa"/>
              <w:bottom w:w="80" w:type="dxa"/>
              <w:left w:w="100" w:type="dxa"/>
              <w:right w:w="100" w:type="dxa"/>
            </w:tcMar>
          </w:tcPr>
          <w:p>
            <w:pPr>
              <w:spacing w:line="276" w:lineRule="auto" w:after="40"/>
            </w:pPr>
            <w:r>
              <w:t>μS/cm</w:t>
            </w:r>
          </w:p>
        </w:tc>
        <w:tc>
          <w:tcPr>
            <w:tcW w:type="dxa" w:w="1734"/>
            <w:tcMar>
              <w:top w:w="80" w:type="dxa"/>
              <w:bottom w:w="80" w:type="dxa"/>
              <w:left w:w="100" w:type="dxa"/>
              <w:right w:w="100" w:type="dxa"/>
            </w:tcMar>
          </w:tcPr>
          <w:p>
            <w:pPr>
              <w:spacing w:line="276" w:lineRule="auto" w:after="40"/>
            </w:pPr>
            <w:r>
              <w:t>&lt; 400 μS/cm</w:t>
            </w:r>
          </w:p>
        </w:tc>
        <w:tc>
          <w:tcPr>
            <w:tcW w:type="dxa" w:w="1734"/>
            <w:tcMar>
              <w:top w:w="80" w:type="dxa"/>
              <w:bottom w:w="80" w:type="dxa"/>
              <w:left w:w="100" w:type="dxa"/>
              <w:right w:w="100" w:type="dxa"/>
            </w:tcMar>
          </w:tcPr>
          <w:p>
            <w:pPr>
              <w:spacing w:line="276" w:lineRule="auto" w:after="40"/>
            </w:pPr>
            <w:r>
              <w:t>Electrical conductivity proxy for dissolved ionic concentration and industrial effluent.</w:t>
            </w:r>
          </w:p>
        </w:tc>
      </w:tr>
      <w:tr>
        <w:tc>
          <w:tcPr>
            <w:tcW w:type="dxa" w:w="1734"/>
            <w:tcMar>
              <w:top w:w="80" w:type="dxa"/>
              <w:bottom w:w="80" w:type="dxa"/>
              <w:left w:w="100" w:type="dxa"/>
              <w:right w:w="100" w:type="dxa"/>
            </w:tcMar>
          </w:tcPr>
          <w:p>
            <w:pPr>
              <w:spacing w:line="276" w:lineRule="auto" w:after="40"/>
            </w:pPr>
            <w:r>
              <w:rPr>
                <w:b/>
              </w:rPr>
              <w:t>Organic_carbon</w:t>
            </w:r>
          </w:p>
        </w:tc>
        <w:tc>
          <w:tcPr>
            <w:tcW w:type="dxa" w:w="1734"/>
            <w:tcMar>
              <w:top w:w="80" w:type="dxa"/>
              <w:bottom w:w="80" w:type="dxa"/>
              <w:left w:w="100" w:type="dxa"/>
              <w:right w:w="100" w:type="dxa"/>
            </w:tcMar>
          </w:tcPr>
          <w:p>
            <w:pPr>
              <w:spacing w:line="276" w:lineRule="auto" w:after="40"/>
            </w:pPr>
            <w:r>
              <w:t>Float64</w:t>
            </w:r>
          </w:p>
        </w:tc>
        <w:tc>
          <w:tcPr>
            <w:tcW w:type="dxa" w:w="1734"/>
            <w:tcMar>
              <w:top w:w="80" w:type="dxa"/>
              <w:bottom w:w="80" w:type="dxa"/>
              <w:left w:w="100" w:type="dxa"/>
              <w:right w:w="100" w:type="dxa"/>
            </w:tcMar>
          </w:tcPr>
          <w:p>
            <w:pPr>
              <w:spacing w:line="276" w:lineRule="auto" w:after="40"/>
            </w:pPr>
            <w:r>
              <w:t>ppm (mg/L)</w:t>
            </w:r>
          </w:p>
        </w:tc>
        <w:tc>
          <w:tcPr>
            <w:tcW w:type="dxa" w:w="1734"/>
            <w:tcMar>
              <w:top w:w="80" w:type="dxa"/>
              <w:bottom w:w="80" w:type="dxa"/>
              <w:left w:w="100" w:type="dxa"/>
              <w:right w:w="100" w:type="dxa"/>
            </w:tcMar>
          </w:tcPr>
          <w:p>
            <w:pPr>
              <w:spacing w:line="276" w:lineRule="auto" w:after="40"/>
            </w:pPr>
            <w:r>
              <w:t>&lt; 10.0 ppm</w:t>
            </w:r>
          </w:p>
        </w:tc>
        <w:tc>
          <w:tcPr>
            <w:tcW w:type="dxa" w:w="1734"/>
            <w:tcMar>
              <w:top w:w="80" w:type="dxa"/>
              <w:bottom w:w="80" w:type="dxa"/>
              <w:left w:w="100" w:type="dxa"/>
              <w:right w:w="100" w:type="dxa"/>
            </w:tcMar>
          </w:tcPr>
          <w:p>
            <w:pPr>
              <w:spacing w:line="276" w:lineRule="auto" w:after="40"/>
            </w:pPr>
            <w:r>
              <w:t>Decaying organic substrate providing biochemical nutrients for pathogen colonization.</w:t>
            </w:r>
          </w:p>
        </w:tc>
      </w:tr>
      <w:tr>
        <w:tc>
          <w:tcPr>
            <w:tcW w:type="dxa" w:w="1734"/>
            <w:tcMar>
              <w:top w:w="80" w:type="dxa"/>
              <w:bottom w:w="80" w:type="dxa"/>
              <w:left w:w="100" w:type="dxa"/>
              <w:right w:w="100" w:type="dxa"/>
            </w:tcMar>
          </w:tcPr>
          <w:p>
            <w:pPr>
              <w:spacing w:line="276" w:lineRule="auto" w:after="40"/>
            </w:pPr>
            <w:r>
              <w:rPr>
                <w:b/>
              </w:rPr>
              <w:t>Trihalomethanes</w:t>
            </w:r>
          </w:p>
        </w:tc>
        <w:tc>
          <w:tcPr>
            <w:tcW w:type="dxa" w:w="1734"/>
            <w:tcMar>
              <w:top w:w="80" w:type="dxa"/>
              <w:bottom w:w="80" w:type="dxa"/>
              <w:left w:w="100" w:type="dxa"/>
              <w:right w:w="100" w:type="dxa"/>
            </w:tcMar>
          </w:tcPr>
          <w:p>
            <w:pPr>
              <w:spacing w:line="276" w:lineRule="auto" w:after="40"/>
            </w:pPr>
            <w:r>
              <w:t>Float64</w:t>
            </w:r>
          </w:p>
        </w:tc>
        <w:tc>
          <w:tcPr>
            <w:tcW w:type="dxa" w:w="1734"/>
            <w:tcMar>
              <w:top w:w="80" w:type="dxa"/>
              <w:bottom w:w="80" w:type="dxa"/>
              <w:left w:w="100" w:type="dxa"/>
              <w:right w:w="100" w:type="dxa"/>
            </w:tcMar>
          </w:tcPr>
          <w:p>
            <w:pPr>
              <w:spacing w:line="276" w:lineRule="auto" w:after="40"/>
            </w:pPr>
            <w:r>
              <w:t>μg/L</w:t>
            </w:r>
          </w:p>
        </w:tc>
        <w:tc>
          <w:tcPr>
            <w:tcW w:type="dxa" w:w="1734"/>
            <w:tcMar>
              <w:top w:w="80" w:type="dxa"/>
              <w:bottom w:w="80" w:type="dxa"/>
              <w:left w:w="100" w:type="dxa"/>
              <w:right w:w="100" w:type="dxa"/>
            </w:tcMar>
          </w:tcPr>
          <w:p>
            <w:pPr>
              <w:spacing w:line="276" w:lineRule="auto" w:after="40"/>
            </w:pPr>
            <w:r>
              <w:t>&lt; 80.0 μg/L</w:t>
            </w:r>
          </w:p>
        </w:tc>
        <w:tc>
          <w:tcPr>
            <w:tcW w:type="dxa" w:w="1734"/>
            <w:tcMar>
              <w:top w:w="80" w:type="dxa"/>
              <w:bottom w:w="80" w:type="dxa"/>
              <w:left w:w="100" w:type="dxa"/>
              <w:right w:w="100" w:type="dxa"/>
            </w:tcMar>
          </w:tcPr>
          <w:p>
            <w:pPr>
              <w:spacing w:line="276" w:lineRule="auto" w:after="40"/>
            </w:pPr>
            <w:r>
              <w:t>Halogenated disinfection byproducts formed by chlorine-organic reactions. Chronic carcinogen.</w:t>
            </w:r>
          </w:p>
        </w:tc>
      </w:tr>
      <w:tr>
        <w:tc>
          <w:tcPr>
            <w:tcW w:type="dxa" w:w="1734"/>
            <w:tcMar>
              <w:top w:w="80" w:type="dxa"/>
              <w:bottom w:w="80" w:type="dxa"/>
              <w:left w:w="100" w:type="dxa"/>
              <w:right w:w="100" w:type="dxa"/>
            </w:tcMar>
          </w:tcPr>
          <w:p>
            <w:pPr>
              <w:spacing w:line="276" w:lineRule="auto" w:after="40"/>
            </w:pPr>
            <w:r>
              <w:rPr>
                <w:b/>
              </w:rPr>
              <w:t>Turbidity</w:t>
            </w:r>
          </w:p>
        </w:tc>
        <w:tc>
          <w:tcPr>
            <w:tcW w:type="dxa" w:w="1734"/>
            <w:tcMar>
              <w:top w:w="80" w:type="dxa"/>
              <w:bottom w:w="80" w:type="dxa"/>
              <w:left w:w="100" w:type="dxa"/>
              <w:right w:w="100" w:type="dxa"/>
            </w:tcMar>
          </w:tcPr>
          <w:p>
            <w:pPr>
              <w:spacing w:line="276" w:lineRule="auto" w:after="40"/>
            </w:pPr>
            <w:r>
              <w:t>Float64</w:t>
            </w:r>
          </w:p>
        </w:tc>
        <w:tc>
          <w:tcPr>
            <w:tcW w:type="dxa" w:w="1734"/>
            <w:tcMar>
              <w:top w:w="80" w:type="dxa"/>
              <w:bottom w:w="80" w:type="dxa"/>
              <w:left w:w="100" w:type="dxa"/>
              <w:right w:w="100" w:type="dxa"/>
            </w:tcMar>
          </w:tcPr>
          <w:p>
            <w:pPr>
              <w:spacing w:line="276" w:lineRule="auto" w:after="40"/>
            </w:pPr>
            <w:r>
              <w:t>NTU</w:t>
            </w:r>
          </w:p>
        </w:tc>
        <w:tc>
          <w:tcPr>
            <w:tcW w:type="dxa" w:w="1734"/>
            <w:tcMar>
              <w:top w:w="80" w:type="dxa"/>
              <w:bottom w:w="80" w:type="dxa"/>
              <w:left w:w="100" w:type="dxa"/>
              <w:right w:w="100" w:type="dxa"/>
            </w:tcMar>
          </w:tcPr>
          <w:p>
            <w:pPr>
              <w:spacing w:line="276" w:lineRule="auto" w:after="40"/>
            </w:pPr>
            <w:r>
              <w:t>&lt; 5.0 NTU</w:t>
            </w:r>
          </w:p>
        </w:tc>
        <w:tc>
          <w:tcPr>
            <w:tcW w:type="dxa" w:w="1734"/>
            <w:tcMar>
              <w:top w:w="80" w:type="dxa"/>
              <w:bottom w:w="80" w:type="dxa"/>
              <w:left w:w="100" w:type="dxa"/>
              <w:right w:w="100" w:type="dxa"/>
            </w:tcMar>
          </w:tcPr>
          <w:p>
            <w:pPr>
              <w:spacing w:line="276" w:lineRule="auto" w:after="40"/>
            </w:pPr>
            <w:r>
              <w:t>Suspended colloidal matter shielding bacteria and viruses from chlorine disinfectant contact.</w:t>
            </w:r>
          </w:p>
        </w:tc>
      </w:tr>
      <w:tr>
        <w:tc>
          <w:tcPr>
            <w:tcW w:type="dxa" w:w="1734"/>
            <w:tcMar>
              <w:top w:w="80" w:type="dxa"/>
              <w:bottom w:w="80" w:type="dxa"/>
              <w:left w:w="100" w:type="dxa"/>
              <w:right w:w="100" w:type="dxa"/>
            </w:tcMar>
          </w:tcPr>
          <w:p>
            <w:pPr>
              <w:spacing w:line="276" w:lineRule="auto" w:after="40"/>
            </w:pPr>
            <w:r>
              <w:rPr>
                <w:b/>
              </w:rPr>
              <w:t>Potability</w:t>
            </w:r>
          </w:p>
        </w:tc>
        <w:tc>
          <w:tcPr>
            <w:tcW w:type="dxa" w:w="1734"/>
            <w:tcMar>
              <w:top w:w="80" w:type="dxa"/>
              <w:bottom w:w="80" w:type="dxa"/>
              <w:left w:w="100" w:type="dxa"/>
              <w:right w:w="100" w:type="dxa"/>
            </w:tcMar>
          </w:tcPr>
          <w:p>
            <w:pPr>
              <w:spacing w:line="276" w:lineRule="auto" w:after="40"/>
            </w:pPr>
            <w:r>
              <w:t>Int64</w:t>
            </w:r>
          </w:p>
        </w:tc>
        <w:tc>
          <w:tcPr>
            <w:tcW w:type="dxa" w:w="1734"/>
            <w:tcMar>
              <w:top w:w="80" w:type="dxa"/>
              <w:bottom w:w="80" w:type="dxa"/>
              <w:left w:w="100" w:type="dxa"/>
              <w:right w:w="100" w:type="dxa"/>
            </w:tcMar>
          </w:tcPr>
          <w:p>
            <w:pPr>
              <w:spacing w:line="276" w:lineRule="auto" w:after="40"/>
            </w:pPr>
            <w:r>
              <w:t>Binary (0 or 1)</w:t>
            </w:r>
          </w:p>
        </w:tc>
        <w:tc>
          <w:tcPr>
            <w:tcW w:type="dxa" w:w="1734"/>
            <w:tcMar>
              <w:top w:w="80" w:type="dxa"/>
              <w:bottom w:w="80" w:type="dxa"/>
              <w:left w:w="100" w:type="dxa"/>
              <w:right w:w="100" w:type="dxa"/>
            </w:tcMar>
          </w:tcPr>
          <w:p>
            <w:pPr>
              <w:spacing w:line="276" w:lineRule="auto" w:after="40"/>
            </w:pPr>
            <w:r>
              <w:t>1 = Potable, 0 = Unsafe</w:t>
            </w:r>
          </w:p>
        </w:tc>
        <w:tc>
          <w:tcPr>
            <w:tcW w:type="dxa" w:w="1734"/>
            <w:tcMar>
              <w:top w:w="80" w:type="dxa"/>
              <w:bottom w:w="80" w:type="dxa"/>
              <w:left w:w="100" w:type="dxa"/>
              <w:right w:w="100" w:type="dxa"/>
            </w:tcMar>
          </w:tcPr>
          <w:p>
            <w:pPr>
              <w:spacing w:line="276" w:lineRule="auto" w:after="40"/>
            </w:pPr>
            <w:r>
              <w:t>Ground-truth target variable indicating physical, chemical, and biological potability.</w:t>
            </w:r>
          </w:p>
        </w:tc>
      </w:tr>
    </w:tbl>
    <w:p>
      <w:pPr>
        <w:spacing w:before="200" w:after="80" w:line="360" w:lineRule="auto"/>
        <w:jc w:val="left"/>
      </w:pPr>
      <w:r>
        <w:rPr>
          <w:rFonts w:ascii="Times New Roman" w:hAnsi="Times New Roman"/>
          <w:b/>
          <w:color w:val="000000"/>
          <w:sz w:val="28"/>
        </w:rPr>
        <w:t>4.4.2 Missing Value Profiling and Median Imputation</w:t>
      </w:r>
    </w:p>
    <w:p>
      <w:pPr>
        <w:spacing w:line="360" w:lineRule="auto" w:after="120"/>
        <w:jc w:val="both"/>
      </w:pPr>
      <w:r>
        <w:rPr>
          <w:rFonts w:ascii="Times New Roman" w:hAnsi="Times New Roman"/>
          <w:color w:val="000000"/>
          <w:sz w:val="24"/>
        </w:rPr>
        <w:t>Real-world sensor telemetry inevitably exhibits missingness. In the raw dataset, 1,434 missing cells were detected across three features. Deleting rows with missing values would result in discarding 43.77% of the dataset (1,434 rows), causing severe observational starvation. Standard mean imputation was rejected because sulfate and turbidity contain heavy-tailed outlier distributions that skew arithmetic averages. The pipeline executes outlier-robust Median Imputation, as summarized in Table 4.2.</w:t>
      </w:r>
    </w:p>
    <w:p>
      <w:pPr>
        <w:spacing w:before="240" w:after="80"/>
        <w:jc w:val="center"/>
      </w:pPr>
      <w:r>
        <w:rPr>
          <w:rFonts w:ascii="Times New Roman" w:hAnsi="Times New Roman"/>
          <w:b/>
          <w:color w:val="000000"/>
          <w:sz w:val="24"/>
        </w:rPr>
        <w:t>Table 4.2: Missing Value Profiling and Median Imputation Parameters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0F2043"/>
            <w:tcMar>
              <w:top w:w="80" w:type="dxa"/>
              <w:bottom w:w="80" w:type="dxa"/>
              <w:left w:w="100" w:type="dxa"/>
              <w:right w:w="100" w:type="dxa"/>
            </w:tcMar>
          </w:tcPr>
          <w:p>
            <w:pPr>
              <w:spacing w:line="276" w:lineRule="auto" w:after="40"/>
            </w:pPr>
            <w:r>
              <w:rPr>
                <w:b/>
                <w:color w:val="FFFFFF"/>
              </w:rPr>
              <w:t>Feature Column</w:t>
            </w:r>
          </w:p>
        </w:tc>
        <w:tc>
          <w:tcPr>
            <w:tcW w:type="dxa" w:w="1734"/>
            <w:shd w:fill="0F2043"/>
            <w:tcMar>
              <w:top w:w="80" w:type="dxa"/>
              <w:bottom w:w="80" w:type="dxa"/>
              <w:left w:w="100" w:type="dxa"/>
              <w:right w:w="100" w:type="dxa"/>
            </w:tcMar>
          </w:tcPr>
          <w:p>
            <w:pPr>
              <w:spacing w:line="276" w:lineRule="auto" w:after="40"/>
            </w:pPr>
            <w:r>
              <w:rPr>
                <w:b/>
                <w:color w:val="FFFFFF"/>
              </w:rPr>
              <w:t>Missing Cell Count</w:t>
            </w:r>
          </w:p>
        </w:tc>
        <w:tc>
          <w:tcPr>
            <w:tcW w:type="dxa" w:w="1734"/>
            <w:shd w:fill="0F2043"/>
            <w:tcMar>
              <w:top w:w="80" w:type="dxa"/>
              <w:bottom w:w="80" w:type="dxa"/>
              <w:left w:w="100" w:type="dxa"/>
              <w:right w:w="100" w:type="dxa"/>
            </w:tcMar>
          </w:tcPr>
          <w:p>
            <w:pPr>
              <w:spacing w:line="276" w:lineRule="auto" w:after="40"/>
            </w:pPr>
            <w:r>
              <w:rPr>
                <w:b/>
                <w:color w:val="FFFFFF"/>
              </w:rPr>
              <w:t>Missing Percentage (%)</w:t>
            </w:r>
          </w:p>
        </w:tc>
        <w:tc>
          <w:tcPr>
            <w:tcW w:type="dxa" w:w="1734"/>
            <w:shd w:fill="0F2043"/>
            <w:tcMar>
              <w:top w:w="80" w:type="dxa"/>
              <w:bottom w:w="80" w:type="dxa"/>
              <w:left w:w="100" w:type="dxa"/>
              <w:right w:w="100" w:type="dxa"/>
            </w:tcMar>
          </w:tcPr>
          <w:p>
            <w:pPr>
              <w:spacing w:line="276" w:lineRule="auto" w:after="40"/>
            </w:pPr>
            <w:r>
              <w:rPr>
                <w:b/>
                <w:color w:val="FFFFFF"/>
              </w:rPr>
              <w:t>Calculated Median Value</w:t>
            </w:r>
          </w:p>
        </w:tc>
        <w:tc>
          <w:tcPr>
            <w:tcW w:type="dxa" w:w="1734"/>
            <w:shd w:fill="0F2043"/>
            <w:tcMar>
              <w:top w:w="80" w:type="dxa"/>
              <w:bottom w:w="80" w:type="dxa"/>
              <w:left w:w="100" w:type="dxa"/>
              <w:right w:w="100" w:type="dxa"/>
            </w:tcMar>
          </w:tcPr>
          <w:p>
            <w:pPr>
              <w:spacing w:line="276" w:lineRule="auto" w:after="40"/>
            </w:pPr>
            <w:r>
              <w:rPr>
                <w:b/>
                <w:color w:val="FFFFFF"/>
              </w:rPr>
              <w:t>Imputation Strategy</w:t>
            </w:r>
          </w:p>
        </w:tc>
      </w:tr>
      <w:tr>
        <w:tc>
          <w:tcPr>
            <w:tcW w:type="dxa" w:w="1734"/>
            <w:tcMar>
              <w:top w:w="80" w:type="dxa"/>
              <w:bottom w:w="80" w:type="dxa"/>
              <w:left w:w="100" w:type="dxa"/>
              <w:right w:w="100" w:type="dxa"/>
            </w:tcMar>
          </w:tcPr>
          <w:p>
            <w:pPr>
              <w:spacing w:line="276" w:lineRule="auto" w:after="40"/>
            </w:pPr>
            <w:r>
              <w:rPr>
                <w:b/>
              </w:rPr>
              <w:t>ph</w:t>
            </w:r>
          </w:p>
        </w:tc>
        <w:tc>
          <w:tcPr>
            <w:tcW w:type="dxa" w:w="1734"/>
            <w:tcMar>
              <w:top w:w="80" w:type="dxa"/>
              <w:bottom w:w="80" w:type="dxa"/>
              <w:left w:w="100" w:type="dxa"/>
              <w:right w:w="100" w:type="dxa"/>
            </w:tcMar>
          </w:tcPr>
          <w:p>
            <w:pPr>
              <w:spacing w:line="276" w:lineRule="auto" w:after="40"/>
            </w:pPr>
            <w:r>
              <w:t>491</w:t>
            </w:r>
          </w:p>
        </w:tc>
        <w:tc>
          <w:tcPr>
            <w:tcW w:type="dxa" w:w="1734"/>
            <w:tcMar>
              <w:top w:w="80" w:type="dxa"/>
              <w:bottom w:w="80" w:type="dxa"/>
              <w:left w:w="100" w:type="dxa"/>
              <w:right w:w="100" w:type="dxa"/>
            </w:tcMar>
          </w:tcPr>
          <w:p>
            <w:pPr>
              <w:spacing w:line="276" w:lineRule="auto" w:after="40"/>
            </w:pPr>
            <w:r>
              <w:t>14.99%</w:t>
            </w:r>
          </w:p>
        </w:tc>
        <w:tc>
          <w:tcPr>
            <w:tcW w:type="dxa" w:w="1734"/>
            <w:tcMar>
              <w:top w:w="80" w:type="dxa"/>
              <w:bottom w:w="80" w:type="dxa"/>
              <w:left w:w="100" w:type="dxa"/>
              <w:right w:w="100" w:type="dxa"/>
            </w:tcMar>
          </w:tcPr>
          <w:p>
            <w:pPr>
              <w:spacing w:line="276" w:lineRule="auto" w:after="40"/>
            </w:pPr>
            <w:r>
              <w:t>7.04</w:t>
            </w:r>
          </w:p>
        </w:tc>
        <w:tc>
          <w:tcPr>
            <w:tcW w:type="dxa" w:w="1734"/>
            <w:tcMar>
              <w:top w:w="80" w:type="dxa"/>
              <w:bottom w:w="80" w:type="dxa"/>
              <w:left w:w="100" w:type="dxa"/>
              <w:right w:w="100" w:type="dxa"/>
            </w:tcMar>
          </w:tcPr>
          <w:p>
            <w:pPr>
              <w:spacing w:line="276" w:lineRule="auto" w:after="40"/>
            </w:pPr>
            <w:r>
              <w:t>Median imputation (robust against extreme acid/alkali spikes)</w:t>
            </w:r>
          </w:p>
        </w:tc>
      </w:tr>
      <w:tr>
        <w:tc>
          <w:tcPr>
            <w:tcW w:type="dxa" w:w="1734"/>
            <w:tcMar>
              <w:top w:w="80" w:type="dxa"/>
              <w:bottom w:w="80" w:type="dxa"/>
              <w:left w:w="100" w:type="dxa"/>
              <w:right w:w="100" w:type="dxa"/>
            </w:tcMar>
          </w:tcPr>
          <w:p>
            <w:pPr>
              <w:spacing w:line="276" w:lineRule="auto" w:after="40"/>
            </w:pPr>
            <w:r>
              <w:rPr>
                <w:b/>
              </w:rPr>
              <w:t>Sulfate</w:t>
            </w:r>
          </w:p>
        </w:tc>
        <w:tc>
          <w:tcPr>
            <w:tcW w:type="dxa" w:w="1734"/>
            <w:tcMar>
              <w:top w:w="80" w:type="dxa"/>
              <w:bottom w:w="80" w:type="dxa"/>
              <w:left w:w="100" w:type="dxa"/>
              <w:right w:w="100" w:type="dxa"/>
            </w:tcMar>
          </w:tcPr>
          <w:p>
            <w:pPr>
              <w:spacing w:line="276" w:lineRule="auto" w:after="40"/>
            </w:pPr>
            <w:r>
              <w:t>781</w:t>
            </w:r>
          </w:p>
        </w:tc>
        <w:tc>
          <w:tcPr>
            <w:tcW w:type="dxa" w:w="1734"/>
            <w:tcMar>
              <w:top w:w="80" w:type="dxa"/>
              <w:bottom w:w="80" w:type="dxa"/>
              <w:left w:w="100" w:type="dxa"/>
              <w:right w:w="100" w:type="dxa"/>
            </w:tcMar>
          </w:tcPr>
          <w:p>
            <w:pPr>
              <w:spacing w:line="276" w:lineRule="auto" w:after="40"/>
            </w:pPr>
            <w:r>
              <w:t>23.84%</w:t>
            </w:r>
          </w:p>
        </w:tc>
        <w:tc>
          <w:tcPr>
            <w:tcW w:type="dxa" w:w="1734"/>
            <w:tcMar>
              <w:top w:w="80" w:type="dxa"/>
              <w:bottom w:w="80" w:type="dxa"/>
              <w:left w:w="100" w:type="dxa"/>
              <w:right w:w="100" w:type="dxa"/>
            </w:tcMar>
          </w:tcPr>
          <w:p>
            <w:pPr>
              <w:spacing w:line="276" w:lineRule="auto" w:after="40"/>
            </w:pPr>
            <w:r>
              <w:t>333.07 mg/L</w:t>
            </w:r>
          </w:p>
        </w:tc>
        <w:tc>
          <w:tcPr>
            <w:tcW w:type="dxa" w:w="1734"/>
            <w:tcMar>
              <w:top w:w="80" w:type="dxa"/>
              <w:bottom w:w="80" w:type="dxa"/>
              <w:left w:w="100" w:type="dxa"/>
              <w:right w:w="100" w:type="dxa"/>
            </w:tcMar>
          </w:tcPr>
          <w:p>
            <w:pPr>
              <w:spacing w:line="276" w:lineRule="auto" w:after="40"/>
            </w:pPr>
            <w:r>
              <w:t>Median imputation (prevents high-magnitude skewness)</w:t>
            </w:r>
          </w:p>
        </w:tc>
      </w:tr>
      <w:tr>
        <w:tc>
          <w:tcPr>
            <w:tcW w:type="dxa" w:w="1734"/>
            <w:tcMar>
              <w:top w:w="80" w:type="dxa"/>
              <w:bottom w:w="80" w:type="dxa"/>
              <w:left w:w="100" w:type="dxa"/>
              <w:right w:w="100" w:type="dxa"/>
            </w:tcMar>
          </w:tcPr>
          <w:p>
            <w:pPr>
              <w:spacing w:line="276" w:lineRule="auto" w:after="40"/>
            </w:pPr>
            <w:r>
              <w:rPr>
                <w:b/>
              </w:rPr>
              <w:t>Trihalomethanes</w:t>
            </w:r>
          </w:p>
        </w:tc>
        <w:tc>
          <w:tcPr>
            <w:tcW w:type="dxa" w:w="1734"/>
            <w:tcMar>
              <w:top w:w="80" w:type="dxa"/>
              <w:bottom w:w="80" w:type="dxa"/>
              <w:left w:w="100" w:type="dxa"/>
              <w:right w:w="100" w:type="dxa"/>
            </w:tcMar>
          </w:tcPr>
          <w:p>
            <w:pPr>
              <w:spacing w:line="276" w:lineRule="auto" w:after="40"/>
            </w:pPr>
            <w:r>
              <w:t>162</w:t>
            </w:r>
          </w:p>
        </w:tc>
        <w:tc>
          <w:tcPr>
            <w:tcW w:type="dxa" w:w="1734"/>
            <w:tcMar>
              <w:top w:w="80" w:type="dxa"/>
              <w:bottom w:w="80" w:type="dxa"/>
              <w:left w:w="100" w:type="dxa"/>
              <w:right w:w="100" w:type="dxa"/>
            </w:tcMar>
          </w:tcPr>
          <w:p>
            <w:pPr>
              <w:spacing w:line="276" w:lineRule="auto" w:after="40"/>
            </w:pPr>
            <w:r>
              <w:t>4.95%</w:t>
            </w:r>
          </w:p>
        </w:tc>
        <w:tc>
          <w:tcPr>
            <w:tcW w:type="dxa" w:w="1734"/>
            <w:tcMar>
              <w:top w:w="80" w:type="dxa"/>
              <w:bottom w:w="80" w:type="dxa"/>
              <w:left w:w="100" w:type="dxa"/>
              <w:right w:w="100" w:type="dxa"/>
            </w:tcMar>
          </w:tcPr>
          <w:p>
            <w:pPr>
              <w:spacing w:line="276" w:lineRule="auto" w:after="40"/>
            </w:pPr>
            <w:r>
              <w:t>66.62 μg/L</w:t>
            </w:r>
          </w:p>
        </w:tc>
        <w:tc>
          <w:tcPr>
            <w:tcW w:type="dxa" w:w="1734"/>
            <w:tcMar>
              <w:top w:w="80" w:type="dxa"/>
              <w:bottom w:w="80" w:type="dxa"/>
              <w:left w:w="100" w:type="dxa"/>
              <w:right w:w="100" w:type="dxa"/>
            </w:tcMar>
          </w:tcPr>
          <w:p>
            <w:pPr>
              <w:spacing w:line="276" w:lineRule="auto" w:after="40"/>
            </w:pPr>
            <w:r>
              <w:t>Median imputation (preserves baseline chlorination proxy)</w:t>
            </w:r>
          </w:p>
        </w:tc>
      </w:tr>
      <w:tr>
        <w:tc>
          <w:tcPr>
            <w:tcW w:type="dxa" w:w="1734"/>
            <w:tcMar>
              <w:top w:w="80" w:type="dxa"/>
              <w:bottom w:w="80" w:type="dxa"/>
              <w:left w:w="100" w:type="dxa"/>
              <w:right w:w="100" w:type="dxa"/>
            </w:tcMar>
          </w:tcPr>
          <w:p>
            <w:pPr>
              <w:spacing w:line="276" w:lineRule="auto" w:after="40"/>
            </w:pPr>
            <w:r>
              <w:rPr>
                <w:b/>
              </w:rPr>
              <w:t>Total Missingness</w:t>
            </w:r>
          </w:p>
        </w:tc>
        <w:tc>
          <w:tcPr>
            <w:tcW w:type="dxa" w:w="1734"/>
            <w:tcMar>
              <w:top w:w="80" w:type="dxa"/>
              <w:bottom w:w="80" w:type="dxa"/>
              <w:left w:w="100" w:type="dxa"/>
              <w:right w:w="100" w:type="dxa"/>
            </w:tcMar>
          </w:tcPr>
          <w:p>
            <w:pPr>
              <w:spacing w:line="276" w:lineRule="auto" w:after="40"/>
            </w:pPr>
            <w:r>
              <w:t>1,434</w:t>
            </w:r>
          </w:p>
        </w:tc>
        <w:tc>
          <w:tcPr>
            <w:tcW w:type="dxa" w:w="1734"/>
            <w:tcMar>
              <w:top w:w="80" w:type="dxa"/>
              <w:bottom w:w="80" w:type="dxa"/>
              <w:left w:w="100" w:type="dxa"/>
              <w:right w:w="100" w:type="dxa"/>
            </w:tcMar>
          </w:tcPr>
          <w:p>
            <w:pPr>
              <w:spacing w:line="276" w:lineRule="auto" w:after="40"/>
            </w:pPr>
            <w:r>
              <w:t>4.38% of all cells</w:t>
            </w:r>
          </w:p>
        </w:tc>
        <w:tc>
          <w:tcPr>
            <w:tcW w:type="dxa" w:w="1734"/>
            <w:tcMar>
              <w:top w:w="80" w:type="dxa"/>
              <w:bottom w:w="80" w:type="dxa"/>
              <w:left w:w="100" w:type="dxa"/>
              <w:right w:w="100" w:type="dxa"/>
            </w:tcMar>
          </w:tcPr>
          <w:p>
            <w:pPr>
              <w:spacing w:line="276" w:lineRule="auto" w:after="40"/>
            </w:pPr>
            <w:r>
              <w:t>N/A</w:t>
            </w:r>
          </w:p>
        </w:tc>
        <w:tc>
          <w:tcPr>
            <w:tcW w:type="dxa" w:w="1734"/>
            <w:tcMar>
              <w:top w:w="80" w:type="dxa"/>
              <w:bottom w:w="80" w:type="dxa"/>
              <w:left w:w="100" w:type="dxa"/>
              <w:right w:w="100" w:type="dxa"/>
            </w:tcMar>
          </w:tcPr>
          <w:p>
            <w:pPr>
              <w:spacing w:line="276" w:lineRule="auto" w:after="40"/>
            </w:pPr>
            <w:r>
              <w:t>Preserved 100% of data (0 rows discarded, 0 duplicates)</w:t>
            </w:r>
          </w:p>
        </w:tc>
      </w:tr>
    </w:tbl>
    <w:p>
      <w:pPr>
        <w:spacing w:before="280" w:after="120" w:line="360" w:lineRule="auto"/>
        <w:jc w:val="left"/>
      </w:pPr>
      <w:r>
        <w:rPr>
          <w:rFonts w:ascii="Times New Roman" w:hAnsi="Times New Roman"/>
          <w:b/>
          <w:color w:val="000000"/>
          <w:sz w:val="32"/>
        </w:rPr>
        <w:t>4.5 Feature Engineering and Mathematical Formulation</w:t>
      </w:r>
    </w:p>
    <w:p>
      <w:pPr>
        <w:spacing w:line="360" w:lineRule="auto" w:after="120"/>
        <w:jc w:val="both"/>
      </w:pPr>
      <w:r>
        <w:rPr>
          <w:rFonts w:ascii="Times New Roman" w:hAnsi="Times New Roman"/>
          <w:color w:val="000000"/>
          <w:sz w:val="24"/>
        </w:rPr>
        <w:t>To empower the machine learning algorithms with domain-specific biochemical intelligence, two novel derived features were mathematically formulated and injected into the feature matrix:</w:t>
      </w:r>
    </w:p>
    <w:p>
      <w:pPr>
        <w:spacing w:before="200" w:after="80" w:line="360" w:lineRule="auto"/>
        <w:jc w:val="left"/>
      </w:pPr>
      <w:r>
        <w:rPr>
          <w:rFonts w:ascii="Times New Roman" w:hAnsi="Times New Roman"/>
          <w:b/>
          <w:color w:val="000000"/>
          <w:sz w:val="28"/>
        </w:rPr>
        <w:t>4.5.1 Contamination Risk Index (CRI)</w:t>
      </w:r>
    </w:p>
    <w:p>
      <w:pPr>
        <w:spacing w:line="360" w:lineRule="auto" w:after="120"/>
        <w:jc w:val="both"/>
      </w:pPr>
      <w:r>
        <w:rPr>
          <w:rFonts w:ascii="Times New Roman" w:hAnsi="Times New Roman"/>
          <w:color w:val="000000"/>
          <w:sz w:val="24"/>
        </w:rPr>
        <w:t>Microbial colonization risk increases exponentially when suspended colloidal matter shields bacteria, organic carbon provides metabolic nutrition, and elevated trihalomethanes indicate excessive organic-chlorine reaction decay. The Contamination Risk Index (CRI) normalizes each parameter to [0, 1] relative to empirical extremes and computes the arithmetic mean:</w:t>
      </w:r>
    </w:p>
    <w:p>
      <w:pPr>
        <w:spacing w:line="360" w:lineRule="auto" w:after="120"/>
        <w:jc w:val="both"/>
      </w:pPr>
      <w:r>
        <w:rPr>
          <w:rFonts w:ascii="Times New Roman" w:hAnsi="Times New Roman"/>
          <w:color w:val="000000"/>
          <w:sz w:val="24"/>
        </w:rPr>
        <w:t>CRI = [ (Turbidity - 1.45)/(6.74 - 1.45) + (Organic_carbon - 2.2)/(27.0 - 2.2) + (Trihalomethanes - 0.74)/(124.0 - 0.74) ] / 3</w:t>
      </w:r>
    </w:p>
    <w:p>
      <w:pPr>
        <w:spacing w:line="360" w:lineRule="auto" w:after="120"/>
        <w:jc w:val="both"/>
      </w:pPr>
      <w:r>
        <w:rPr>
          <w:rFonts w:ascii="Times New Roman" w:hAnsi="Times New Roman"/>
          <w:color w:val="000000"/>
          <w:sz w:val="24"/>
        </w:rPr>
        <w:t>The resulting CRI metric yields a bounded continuous score from 0.0 (pristine water) to 1.0 (maximally contaminated water).</w:t>
      </w:r>
    </w:p>
    <w:p>
      <w:pPr>
        <w:spacing w:before="200" w:after="80" w:line="360" w:lineRule="auto"/>
        <w:jc w:val="left"/>
      </w:pPr>
      <w:r>
        <w:rPr>
          <w:rFonts w:ascii="Times New Roman" w:hAnsi="Times New Roman"/>
          <w:b/>
          <w:color w:val="000000"/>
          <w:sz w:val="28"/>
        </w:rPr>
        <w:t>4.5.2 WHO pH Safe Envelope Deviation</w:t>
      </w:r>
    </w:p>
    <w:p>
      <w:pPr>
        <w:spacing w:line="360" w:lineRule="auto" w:after="120"/>
        <w:jc w:val="both"/>
      </w:pPr>
      <w:r>
        <w:rPr>
          <w:rFonts w:ascii="Times New Roman" w:hAnsi="Times New Roman"/>
          <w:color w:val="000000"/>
          <w:sz w:val="24"/>
        </w:rPr>
        <w:t>The permissible WHO drinking water envelope is defined as [6.5, 8.5]. Rather than treating pH as a linear feature, the deviation function calculates absolute spatial distance beyond safe limits:</w:t>
      </w:r>
    </w:p>
    <w:p>
      <w:pPr>
        <w:spacing w:line="360" w:lineRule="auto" w:after="120"/>
        <w:jc w:val="both"/>
      </w:pPr>
      <w:r>
        <w:rPr>
          <w:rFonts w:ascii="Times New Roman" w:hAnsi="Times New Roman"/>
          <w:color w:val="000000"/>
          <w:sz w:val="24"/>
        </w:rPr>
        <w:t>ph_deviation = max(0, 6.5 - pH) + max(0, pH - 8.5)</w:t>
      </w:r>
    </w:p>
    <w:p>
      <w:pPr>
        <w:spacing w:before="280" w:after="120" w:line="360" w:lineRule="auto"/>
        <w:jc w:val="left"/>
      </w:pPr>
      <w:r>
        <w:rPr>
          <w:rFonts w:ascii="Times New Roman" w:hAnsi="Times New Roman"/>
          <w:b/>
          <w:color w:val="000000"/>
          <w:sz w:val="32"/>
        </w:rPr>
        <w:t>4.6 Workflow Diagram</w:t>
      </w:r>
    </w:p>
    <w:p>
      <w:pPr>
        <w:spacing w:line="360" w:lineRule="auto" w:after="120"/>
        <w:jc w:val="both"/>
      </w:pPr>
      <w:r>
        <w:rPr>
          <w:rFonts w:ascii="Times New Roman" w:hAnsi="Times New Roman"/>
          <w:color w:val="000000"/>
          <w:sz w:val="24"/>
        </w:rPr>
        <w:t>The end-to-end execution flow of the data engineering, machine learning training, and spatial GIS mapping pipeline is illustrated in Figure 4.2.</w:t>
      </w:r>
    </w:p>
    <w:p>
      <w:pPr>
        <w:spacing w:line="360" w:lineRule="auto" w:after="120"/>
        <w:jc w:val="both"/>
      </w:pPr>
      <w:r>
        <w:rPr>
          <w:rFonts w:ascii="Times New Roman" w:hAnsi="Times New Roman"/>
          <w:color w:val="000000"/>
          <w:sz w:val="24"/>
        </w:rPr>
        <w:t>[Insert Figure 4.2: End-to-End Machine Learning and Spatial Surveillance Workflow]</w:t>
        <w:br/>
        <w:t>Figure 4.2 documents the sequential transition from raw Kaggle data ingestion to median imputation, feature engineering, 5-fold cross-validation, model serialization via joblib, and browser-based spatial GIS map generation.</w:t>
      </w:r>
    </w:p>
    <w:p>
      <w:pPr>
        <w:spacing w:before="80" w:after="240"/>
        <w:jc w:val="center"/>
      </w:pPr>
      <w:r>
        <w:rPr>
          <w:rFonts w:ascii="Times New Roman" w:hAnsi="Times New Roman"/>
          <w:b/>
          <w:color w:val="000000"/>
          <w:sz w:val="24"/>
        </w:rPr>
        <w:t>Figure 4.2: End-to-End Machine Learning and Spatial Surveillance Workflow</w:t>
      </w:r>
    </w:p>
    <w:p>
      <w:pPr>
        <w:spacing w:before="280" w:after="120" w:line="360" w:lineRule="auto"/>
        <w:jc w:val="left"/>
      </w:pPr>
      <w:r>
        <w:rPr>
          <w:rFonts w:ascii="Times New Roman" w:hAnsi="Times New Roman"/>
          <w:b/>
          <w:color w:val="000000"/>
          <w:sz w:val="32"/>
        </w:rPr>
        <w:t>4.7 Summary</w:t>
      </w:r>
    </w:p>
    <w:p>
      <w:pPr>
        <w:spacing w:line="360" w:lineRule="auto" w:after="120"/>
        <w:jc w:val="both"/>
      </w:pPr>
      <w:r>
        <w:rPr>
          <w:rFonts w:ascii="Times New Roman" w:hAnsi="Times New Roman"/>
          <w:color w:val="000000"/>
          <w:sz w:val="24"/>
        </w:rPr>
        <w:t>Chapter 4 established the complete mathematical foundation and data engineering protocol governing PRJ_441, ensuring full transparency and reproducibility across all computational stages.</w:t>
      </w:r>
    </w:p>
    <w:p>
      <w:pPr>
        <w:pageBreakBefore/>
        <w:spacing w:before="360" w:after="360" w:line="360" w:lineRule="auto"/>
        <w:jc w:val="center"/>
      </w:pPr>
      <w:r>
        <w:rPr>
          <w:rFonts w:ascii="Times New Roman" w:hAnsi="Times New Roman"/>
          <w:b/>
          <w:color w:val="000000"/>
          <w:sz w:val="36"/>
        </w:rPr>
        <w:t>CHAPTER 5</w:t>
        <w:br/>
        <w:t>OBJECTIVES</w:t>
      </w:r>
    </w:p>
    <w:p>
      <w:pPr>
        <w:spacing w:line="360" w:lineRule="auto" w:after="120"/>
        <w:jc w:val="both"/>
      </w:pPr>
      <w:r>
        <w:rPr>
          <w:rFonts w:ascii="Times New Roman" w:hAnsi="Times New Roman"/>
          <w:color w:val="000000"/>
          <w:sz w:val="24"/>
        </w:rPr>
        <w:t>The primary aim of this project is accomplished through five clearly delineated technical objectives:</w:t>
      </w:r>
    </w:p>
    <w:p>
      <w:pPr>
        <w:pStyle w:val="ListBullet"/>
        <w:spacing w:line="360" w:lineRule="auto" w:after="80"/>
        <w:jc w:val="both"/>
      </w:pPr>
      <w:r>
        <w:rPr>
          <w:rFonts w:ascii="Times New Roman" w:hAnsi="Times New Roman"/>
          <w:b/>
          <w:color w:val="000000"/>
          <w:sz w:val="24"/>
        </w:rPr>
        <w:t xml:space="preserve">Objective 1: Real-World Data Ingestion &amp; Outlier-Resistant Imputation — </w:t>
      </w:r>
      <w:r>
        <w:rPr>
          <w:rFonts w:ascii="Times New Roman" w:hAnsi="Times New Roman"/>
          <w:color w:val="000000"/>
          <w:sz w:val="24"/>
        </w:rPr>
        <w:t>Ingest 3,276 authentic water test samples from the Kaggle potability repository. Implement Median Imputation across 1,434 missing values in pH, Sulfate, and Trihalomethanes, achieving zero data loss while preventing outlier-induced average distortion.</w:t>
      </w:r>
    </w:p>
    <w:p>
      <w:pPr>
        <w:pStyle w:val="ListBullet"/>
        <w:spacing w:line="360" w:lineRule="auto" w:after="80"/>
        <w:jc w:val="both"/>
      </w:pPr>
      <w:r>
        <w:rPr>
          <w:rFonts w:ascii="Times New Roman" w:hAnsi="Times New Roman"/>
          <w:b/>
          <w:color w:val="000000"/>
          <w:sz w:val="24"/>
        </w:rPr>
        <w:t xml:space="preserve">Objective 2: Domain-Driven Feature Engineering — </w:t>
      </w:r>
      <w:r>
        <w:rPr>
          <w:rFonts w:ascii="Times New Roman" w:hAnsi="Times New Roman"/>
          <w:color w:val="000000"/>
          <w:sz w:val="24"/>
        </w:rPr>
        <w:t>Formulate and compute the Contamination Risk Index (CRI) by integrating normalized Turbidity, Organic Carbon, and Trihalomethanes. Compute absolute pH deviation outside the WHO safe drinking envelope [6.5, 8.5] and partition samples into quantile risk tiers.</w:t>
      </w:r>
    </w:p>
    <w:p>
      <w:pPr>
        <w:pStyle w:val="ListBullet"/>
        <w:spacing w:line="360" w:lineRule="auto" w:after="80"/>
        <w:jc w:val="both"/>
      </w:pPr>
      <w:r>
        <w:rPr>
          <w:rFonts w:ascii="Times New Roman" w:hAnsi="Times New Roman"/>
          <w:b/>
          <w:color w:val="000000"/>
          <w:sz w:val="24"/>
        </w:rPr>
        <w:t xml:space="preserve">Objective 3: 5-Fold Stratified Cross-Validation Benchmarking — </w:t>
      </w:r>
      <w:r>
        <w:rPr>
          <w:rFonts w:ascii="Times New Roman" w:hAnsi="Times New Roman"/>
          <w:color w:val="000000"/>
          <w:sz w:val="24"/>
        </w:rPr>
        <w:t>Train, evaluate, and benchmark four supervised classifiers (Random Forest, Gradient Boosting, Extra Trees, Logistic Regression) using 5-Fold Stratified Cross-Validation with balanced class weights to resolve the 61/39 potability class imbalance.</w:t>
      </w:r>
    </w:p>
    <w:p>
      <w:pPr>
        <w:pStyle w:val="ListBullet"/>
        <w:spacing w:line="360" w:lineRule="auto" w:after="80"/>
        <w:jc w:val="both"/>
      </w:pPr>
      <w:r>
        <w:rPr>
          <w:rFonts w:ascii="Times New Roman" w:hAnsi="Times New Roman"/>
          <w:b/>
          <w:color w:val="000000"/>
          <w:sz w:val="24"/>
        </w:rPr>
        <w:t xml:space="preserve">Objective 4: Interpretability &amp; Feature Attribution Analysis — </w:t>
      </w:r>
      <w:r>
        <w:rPr>
          <w:rFonts w:ascii="Times New Roman" w:hAnsi="Times New Roman"/>
          <w:color w:val="000000"/>
          <w:sz w:val="24"/>
        </w:rPr>
        <w:t>Quantify feature importance using Gini Impurity reduction to determine the dominant chemical drivers of potability and generate correlation heatmaps verifying feature independence.</w:t>
      </w:r>
    </w:p>
    <w:p>
      <w:pPr>
        <w:pStyle w:val="ListBullet"/>
        <w:spacing w:line="360" w:lineRule="auto" w:after="80"/>
        <w:jc w:val="both"/>
      </w:pPr>
      <w:r>
        <w:rPr>
          <w:rFonts w:ascii="Times New Roman" w:hAnsi="Times New Roman"/>
          <w:b/>
          <w:color w:val="000000"/>
          <w:sz w:val="24"/>
        </w:rPr>
        <w:t xml:space="preserve">Objective 5: Spatial GIS Surveillance &amp; Web Dashboard Deployment — </w:t>
      </w:r>
      <w:r>
        <w:rPr>
          <w:rFonts w:ascii="Times New Roman" w:hAnsi="Times New Roman"/>
          <w:color w:val="000000"/>
          <w:sz w:val="24"/>
        </w:rPr>
        <w:t>Develop an interactive multi-layer GIS surveillance engine (outbreak_risk_map.html) and a production Streamlit web application (app.py) that maps regional monitoring nodes into Critical (Red), Moderate (Orange), and Safe (Green) risk tiers with automated municipal advisories.</w:t>
      </w:r>
    </w:p>
    <w:p>
      <w:pPr>
        <w:pageBreakBefore/>
        <w:spacing w:before="360" w:after="360" w:line="360" w:lineRule="auto"/>
        <w:jc w:val="center"/>
      </w:pPr>
      <w:r>
        <w:rPr>
          <w:rFonts w:ascii="Times New Roman" w:hAnsi="Times New Roman"/>
          <w:b/>
          <w:color w:val="000000"/>
          <w:sz w:val="36"/>
        </w:rPr>
        <w:t>CHAPTER 6</w:t>
        <w:br/>
        <w:t>SYSTEM DESIGN AND IMPLEMENTATION</w:t>
      </w:r>
    </w:p>
    <w:p>
      <w:pPr>
        <w:spacing w:before="280" w:after="120" w:line="360" w:lineRule="auto"/>
        <w:jc w:val="left"/>
      </w:pPr>
      <w:r>
        <w:rPr>
          <w:rFonts w:ascii="Times New Roman" w:hAnsi="Times New Roman"/>
          <w:b/>
          <w:color w:val="000000"/>
          <w:sz w:val="32"/>
        </w:rPr>
        <w:t>6.1 Module-Wise Implementation Details</w:t>
      </w:r>
    </w:p>
    <w:p>
      <w:pPr>
        <w:spacing w:line="360" w:lineRule="auto" w:after="120"/>
        <w:jc w:val="both"/>
      </w:pPr>
      <w:r>
        <w:rPr>
          <w:rFonts w:ascii="Times New Roman" w:hAnsi="Times New Roman"/>
          <w:color w:val="000000"/>
          <w:sz w:val="24"/>
        </w:rPr>
        <w:t>The project architecture is organized into distinct, modular functional components as detailed in Table 6.1.</w:t>
      </w:r>
    </w:p>
    <w:p>
      <w:pPr>
        <w:spacing w:before="240" w:after="80"/>
        <w:jc w:val="center"/>
      </w:pPr>
      <w:r>
        <w:rPr>
          <w:rFonts w:ascii="Times New Roman" w:hAnsi="Times New Roman"/>
          <w:b/>
          <w:color w:val="000000"/>
          <w:sz w:val="24"/>
        </w:rPr>
        <w:t>Table 6.1: Mapping of System Modules, Input Vectors, and Functional Outputs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0F2043"/>
            <w:tcMar>
              <w:top w:w="80" w:type="dxa"/>
              <w:bottom w:w="80" w:type="dxa"/>
              <w:left w:w="100" w:type="dxa"/>
              <w:right w:w="100" w:type="dxa"/>
            </w:tcMar>
          </w:tcPr>
          <w:p>
            <w:pPr>
              <w:spacing w:line="276" w:lineRule="auto" w:after="40"/>
            </w:pPr>
            <w:r>
              <w:rPr>
                <w:b/>
                <w:color w:val="FFFFFF"/>
              </w:rPr>
              <w:t>Module Name</w:t>
            </w:r>
          </w:p>
        </w:tc>
        <w:tc>
          <w:tcPr>
            <w:tcW w:type="dxa" w:w="1734"/>
            <w:shd w:fill="0F2043"/>
            <w:tcMar>
              <w:top w:w="80" w:type="dxa"/>
              <w:bottom w:w="80" w:type="dxa"/>
              <w:left w:w="100" w:type="dxa"/>
              <w:right w:w="100" w:type="dxa"/>
            </w:tcMar>
          </w:tcPr>
          <w:p>
            <w:pPr>
              <w:spacing w:line="276" w:lineRule="auto" w:after="40"/>
            </w:pPr>
            <w:r>
              <w:rPr>
                <w:b/>
                <w:color w:val="FFFFFF"/>
              </w:rPr>
              <w:t>Primary Script / File</w:t>
            </w:r>
          </w:p>
        </w:tc>
        <w:tc>
          <w:tcPr>
            <w:tcW w:type="dxa" w:w="1734"/>
            <w:shd w:fill="0F2043"/>
            <w:tcMar>
              <w:top w:w="80" w:type="dxa"/>
              <w:bottom w:w="80" w:type="dxa"/>
              <w:left w:w="100" w:type="dxa"/>
              <w:right w:w="100" w:type="dxa"/>
            </w:tcMar>
          </w:tcPr>
          <w:p>
            <w:pPr>
              <w:spacing w:line="276" w:lineRule="auto" w:after="40"/>
            </w:pPr>
            <w:r>
              <w:rPr>
                <w:b/>
                <w:color w:val="FFFFFF"/>
              </w:rPr>
              <w:t>Input Artifacts</w:t>
            </w:r>
          </w:p>
        </w:tc>
        <w:tc>
          <w:tcPr>
            <w:tcW w:type="dxa" w:w="1734"/>
            <w:shd w:fill="0F2043"/>
            <w:tcMar>
              <w:top w:w="80" w:type="dxa"/>
              <w:bottom w:w="80" w:type="dxa"/>
              <w:left w:w="100" w:type="dxa"/>
              <w:right w:w="100" w:type="dxa"/>
            </w:tcMar>
          </w:tcPr>
          <w:p>
            <w:pPr>
              <w:spacing w:line="276" w:lineRule="auto" w:after="40"/>
            </w:pPr>
            <w:r>
              <w:rPr>
                <w:b/>
                <w:color w:val="FFFFFF"/>
              </w:rPr>
              <w:t>Core Processing Logic</w:t>
            </w:r>
          </w:p>
        </w:tc>
        <w:tc>
          <w:tcPr>
            <w:tcW w:type="dxa" w:w="1734"/>
            <w:shd w:fill="0F2043"/>
            <w:tcMar>
              <w:top w:w="80" w:type="dxa"/>
              <w:bottom w:w="80" w:type="dxa"/>
              <w:left w:w="100" w:type="dxa"/>
              <w:right w:w="100" w:type="dxa"/>
            </w:tcMar>
          </w:tcPr>
          <w:p>
            <w:pPr>
              <w:spacing w:line="276" w:lineRule="auto" w:after="40"/>
            </w:pPr>
            <w:r>
              <w:rPr>
                <w:b/>
                <w:color w:val="FFFFFF"/>
              </w:rPr>
              <w:t>Generated Outputs</w:t>
            </w:r>
          </w:p>
        </w:tc>
      </w:tr>
      <w:tr>
        <w:tc>
          <w:tcPr>
            <w:tcW w:type="dxa" w:w="1734"/>
            <w:tcMar>
              <w:top w:w="80" w:type="dxa"/>
              <w:bottom w:w="80" w:type="dxa"/>
              <w:left w:w="100" w:type="dxa"/>
              <w:right w:w="100" w:type="dxa"/>
            </w:tcMar>
          </w:tcPr>
          <w:p>
            <w:pPr>
              <w:spacing w:line="276" w:lineRule="auto" w:after="40"/>
            </w:pPr>
            <w:r>
              <w:rPr>
                <w:b/>
              </w:rPr>
              <w:t>Data Cleaning Module</w:t>
            </w:r>
          </w:p>
        </w:tc>
        <w:tc>
          <w:tcPr>
            <w:tcW w:type="dxa" w:w="1734"/>
            <w:tcMar>
              <w:top w:w="80" w:type="dxa"/>
              <w:bottom w:w="80" w:type="dxa"/>
              <w:left w:w="100" w:type="dxa"/>
              <w:right w:w="100" w:type="dxa"/>
            </w:tcMar>
          </w:tcPr>
          <w:p>
            <w:pPr>
              <w:spacing w:line="276" w:lineRule="auto" w:after="40"/>
            </w:pPr>
            <w:r>
              <w:t>01_data_loading_and_cleaning.py</w:t>
            </w:r>
          </w:p>
        </w:tc>
        <w:tc>
          <w:tcPr>
            <w:tcW w:type="dxa" w:w="1734"/>
            <w:tcMar>
              <w:top w:w="80" w:type="dxa"/>
              <w:bottom w:w="80" w:type="dxa"/>
              <w:left w:w="100" w:type="dxa"/>
              <w:right w:w="100" w:type="dxa"/>
            </w:tcMar>
          </w:tcPr>
          <w:p>
            <w:pPr>
              <w:spacing w:line="276" w:lineRule="auto" w:after="40"/>
            </w:pPr>
            <w:r>
              <w:t>water_potability.csv</w:t>
            </w:r>
          </w:p>
        </w:tc>
        <w:tc>
          <w:tcPr>
            <w:tcW w:type="dxa" w:w="1734"/>
            <w:tcMar>
              <w:top w:w="80" w:type="dxa"/>
              <w:bottom w:w="80" w:type="dxa"/>
              <w:left w:w="100" w:type="dxa"/>
              <w:right w:w="100" w:type="dxa"/>
            </w:tcMar>
          </w:tcPr>
          <w:p>
            <w:pPr>
              <w:spacing w:line="276" w:lineRule="auto" w:after="40"/>
            </w:pPr>
            <w:r>
              <w:t>Shape profiling, null counting, median imputation</w:t>
            </w:r>
          </w:p>
        </w:tc>
        <w:tc>
          <w:tcPr>
            <w:tcW w:type="dxa" w:w="1734"/>
            <w:tcMar>
              <w:top w:w="80" w:type="dxa"/>
              <w:bottom w:w="80" w:type="dxa"/>
              <w:left w:w="100" w:type="dxa"/>
              <w:right w:w="100" w:type="dxa"/>
            </w:tcMar>
          </w:tcPr>
          <w:p>
            <w:pPr>
              <w:spacing w:line="276" w:lineRule="auto" w:after="40"/>
            </w:pPr>
            <w:r>
              <w:t>water_potability_cleaned.csv</w:t>
            </w:r>
          </w:p>
        </w:tc>
      </w:tr>
      <w:tr>
        <w:tc>
          <w:tcPr>
            <w:tcW w:type="dxa" w:w="1734"/>
            <w:tcMar>
              <w:top w:w="80" w:type="dxa"/>
              <w:bottom w:w="80" w:type="dxa"/>
              <w:left w:w="100" w:type="dxa"/>
              <w:right w:w="100" w:type="dxa"/>
            </w:tcMar>
          </w:tcPr>
          <w:p>
            <w:pPr>
              <w:spacing w:line="276" w:lineRule="auto" w:after="40"/>
            </w:pPr>
            <w:r>
              <w:rPr>
                <w:b/>
              </w:rPr>
              <w:t>Feature Engineering</w:t>
            </w:r>
          </w:p>
        </w:tc>
        <w:tc>
          <w:tcPr>
            <w:tcW w:type="dxa" w:w="1734"/>
            <w:tcMar>
              <w:top w:w="80" w:type="dxa"/>
              <w:bottom w:w="80" w:type="dxa"/>
              <w:left w:w="100" w:type="dxa"/>
              <w:right w:w="100" w:type="dxa"/>
            </w:tcMar>
          </w:tcPr>
          <w:p>
            <w:pPr>
              <w:spacing w:line="276" w:lineRule="auto" w:after="40"/>
            </w:pPr>
            <w:r>
              <w:t>02_feature_engineering.py</w:t>
            </w:r>
          </w:p>
        </w:tc>
        <w:tc>
          <w:tcPr>
            <w:tcW w:type="dxa" w:w="1734"/>
            <w:tcMar>
              <w:top w:w="80" w:type="dxa"/>
              <w:bottom w:w="80" w:type="dxa"/>
              <w:left w:w="100" w:type="dxa"/>
              <w:right w:w="100" w:type="dxa"/>
            </w:tcMar>
          </w:tcPr>
          <w:p>
            <w:pPr>
              <w:spacing w:line="276" w:lineRule="auto" w:after="40"/>
            </w:pPr>
            <w:r>
              <w:t>water_potability_cleaned.csv</w:t>
            </w:r>
          </w:p>
        </w:tc>
        <w:tc>
          <w:tcPr>
            <w:tcW w:type="dxa" w:w="1734"/>
            <w:tcMar>
              <w:top w:w="80" w:type="dxa"/>
              <w:bottom w:w="80" w:type="dxa"/>
              <w:left w:w="100" w:type="dxa"/>
              <w:right w:w="100" w:type="dxa"/>
            </w:tcMar>
          </w:tcPr>
          <w:p>
            <w:pPr>
              <w:spacing w:line="276" w:lineRule="auto" w:after="40"/>
            </w:pPr>
            <w:r>
              <w:t>CRI calculation, WHO pH envelope deviation</w:t>
            </w:r>
          </w:p>
        </w:tc>
        <w:tc>
          <w:tcPr>
            <w:tcW w:type="dxa" w:w="1734"/>
            <w:tcMar>
              <w:top w:w="80" w:type="dxa"/>
              <w:bottom w:w="80" w:type="dxa"/>
              <w:left w:w="100" w:type="dxa"/>
              <w:right w:w="100" w:type="dxa"/>
            </w:tcMar>
          </w:tcPr>
          <w:p>
            <w:pPr>
              <w:spacing w:line="276" w:lineRule="auto" w:after="40"/>
            </w:pPr>
            <w:r>
              <w:t>water_potability_engineered.csv</w:t>
            </w:r>
          </w:p>
        </w:tc>
      </w:tr>
      <w:tr>
        <w:tc>
          <w:tcPr>
            <w:tcW w:type="dxa" w:w="1734"/>
            <w:tcMar>
              <w:top w:w="80" w:type="dxa"/>
              <w:bottom w:w="80" w:type="dxa"/>
              <w:left w:w="100" w:type="dxa"/>
              <w:right w:w="100" w:type="dxa"/>
            </w:tcMar>
          </w:tcPr>
          <w:p>
            <w:pPr>
              <w:spacing w:line="276" w:lineRule="auto" w:after="40"/>
            </w:pPr>
            <w:r>
              <w:rPr>
                <w:b/>
              </w:rPr>
              <w:t>Baseline Model Training</w:t>
            </w:r>
          </w:p>
        </w:tc>
        <w:tc>
          <w:tcPr>
            <w:tcW w:type="dxa" w:w="1734"/>
            <w:tcMar>
              <w:top w:w="80" w:type="dxa"/>
              <w:bottom w:w="80" w:type="dxa"/>
              <w:left w:w="100" w:type="dxa"/>
              <w:right w:w="100" w:type="dxa"/>
            </w:tcMar>
          </w:tcPr>
          <w:p>
            <w:pPr>
              <w:spacing w:line="276" w:lineRule="auto" w:after="40"/>
            </w:pPr>
            <w:r>
              <w:t>03_model_training.py</w:t>
            </w:r>
          </w:p>
        </w:tc>
        <w:tc>
          <w:tcPr>
            <w:tcW w:type="dxa" w:w="1734"/>
            <w:tcMar>
              <w:top w:w="80" w:type="dxa"/>
              <w:bottom w:w="80" w:type="dxa"/>
              <w:left w:w="100" w:type="dxa"/>
              <w:right w:w="100" w:type="dxa"/>
            </w:tcMar>
          </w:tcPr>
          <w:p>
            <w:pPr>
              <w:spacing w:line="276" w:lineRule="auto" w:after="40"/>
            </w:pPr>
            <w:r>
              <w:t>water_potability_engineered.csv</w:t>
            </w:r>
          </w:p>
        </w:tc>
        <w:tc>
          <w:tcPr>
            <w:tcW w:type="dxa" w:w="1734"/>
            <w:tcMar>
              <w:top w:w="80" w:type="dxa"/>
              <w:bottom w:w="80" w:type="dxa"/>
              <w:left w:w="100" w:type="dxa"/>
              <w:right w:w="100" w:type="dxa"/>
            </w:tcMar>
          </w:tcPr>
          <w:p>
            <w:pPr>
              <w:spacing w:line="276" w:lineRule="auto" w:after="40"/>
            </w:pPr>
            <w:r>
              <w:t>80/20 stratified split, RF vs LR evaluation</w:t>
            </w:r>
          </w:p>
        </w:tc>
        <w:tc>
          <w:tcPr>
            <w:tcW w:type="dxa" w:w="1734"/>
            <w:tcMar>
              <w:top w:w="80" w:type="dxa"/>
              <w:bottom w:w="80" w:type="dxa"/>
              <w:left w:w="100" w:type="dxa"/>
              <w:right w:w="100" w:type="dxa"/>
            </w:tcMar>
          </w:tcPr>
          <w:p>
            <w:pPr>
              <w:spacing w:line="276" w:lineRule="auto" w:after="40"/>
            </w:pPr>
            <w:r>
              <w:t>Accuracy, Precision, Recall, F1</w:t>
            </w:r>
          </w:p>
        </w:tc>
      </w:tr>
      <w:tr>
        <w:tc>
          <w:tcPr>
            <w:tcW w:type="dxa" w:w="1734"/>
            <w:tcMar>
              <w:top w:w="80" w:type="dxa"/>
              <w:bottom w:w="80" w:type="dxa"/>
              <w:left w:w="100" w:type="dxa"/>
              <w:right w:w="100" w:type="dxa"/>
            </w:tcMar>
          </w:tcPr>
          <w:p>
            <w:pPr>
              <w:spacing w:line="276" w:lineRule="auto" w:after="40"/>
            </w:pPr>
            <w:r>
              <w:rPr>
                <w:b/>
              </w:rPr>
              <w:t>Diagnostic Attribution</w:t>
            </w:r>
          </w:p>
        </w:tc>
        <w:tc>
          <w:tcPr>
            <w:tcW w:type="dxa" w:w="1734"/>
            <w:tcMar>
              <w:top w:w="80" w:type="dxa"/>
              <w:bottom w:w="80" w:type="dxa"/>
              <w:left w:w="100" w:type="dxa"/>
              <w:right w:w="100" w:type="dxa"/>
            </w:tcMar>
          </w:tcPr>
          <w:p>
            <w:pPr>
              <w:spacing w:line="276" w:lineRule="auto" w:after="40"/>
            </w:pPr>
            <w:r>
              <w:t>04_feature_importance.py</w:t>
            </w:r>
          </w:p>
        </w:tc>
        <w:tc>
          <w:tcPr>
            <w:tcW w:type="dxa" w:w="1734"/>
            <w:tcMar>
              <w:top w:w="80" w:type="dxa"/>
              <w:bottom w:w="80" w:type="dxa"/>
              <w:left w:w="100" w:type="dxa"/>
              <w:right w:w="100" w:type="dxa"/>
            </w:tcMar>
          </w:tcPr>
          <w:p>
            <w:pPr>
              <w:spacing w:line="276" w:lineRule="auto" w:after="40"/>
            </w:pPr>
            <w:r>
              <w:t>water_potability_engineered.csv</w:t>
            </w:r>
          </w:p>
        </w:tc>
        <w:tc>
          <w:tcPr>
            <w:tcW w:type="dxa" w:w="1734"/>
            <w:tcMar>
              <w:top w:w="80" w:type="dxa"/>
              <w:bottom w:w="80" w:type="dxa"/>
              <w:left w:w="100" w:type="dxa"/>
              <w:right w:w="100" w:type="dxa"/>
            </w:tcMar>
          </w:tcPr>
          <w:p>
            <w:pPr>
              <w:spacing w:line="276" w:lineRule="auto" w:after="40"/>
            </w:pPr>
            <w:r>
              <w:t>Gini impurity extraction, correlation heatmap</w:t>
            </w:r>
          </w:p>
        </w:tc>
        <w:tc>
          <w:tcPr>
            <w:tcW w:type="dxa" w:w="1734"/>
            <w:tcMar>
              <w:top w:w="80" w:type="dxa"/>
              <w:bottom w:w="80" w:type="dxa"/>
              <w:left w:w="100" w:type="dxa"/>
              <w:right w:w="100" w:type="dxa"/>
            </w:tcMar>
          </w:tcPr>
          <w:p>
            <w:pPr>
              <w:spacing w:line="276" w:lineRule="auto" w:after="40"/>
            </w:pPr>
            <w:r>
              <w:t>feature_importance.png, heatmap.png</w:t>
            </w:r>
          </w:p>
        </w:tc>
      </w:tr>
      <w:tr>
        <w:tc>
          <w:tcPr>
            <w:tcW w:type="dxa" w:w="1734"/>
            <w:tcMar>
              <w:top w:w="80" w:type="dxa"/>
              <w:bottom w:w="80" w:type="dxa"/>
              <w:left w:w="100" w:type="dxa"/>
              <w:right w:w="100" w:type="dxa"/>
            </w:tcMar>
          </w:tcPr>
          <w:p>
            <w:pPr>
              <w:spacing w:line="276" w:lineRule="auto" w:after="40"/>
            </w:pPr>
            <w:r>
              <w:rPr>
                <w:b/>
              </w:rPr>
              <w:t>Production CV Engine</w:t>
            </w:r>
          </w:p>
        </w:tc>
        <w:tc>
          <w:tcPr>
            <w:tcW w:type="dxa" w:w="1734"/>
            <w:tcMar>
              <w:top w:w="80" w:type="dxa"/>
              <w:bottom w:w="80" w:type="dxa"/>
              <w:left w:w="100" w:type="dxa"/>
              <w:right w:w="100" w:type="dxa"/>
            </w:tcMar>
          </w:tcPr>
          <w:p>
            <w:pPr>
              <w:spacing w:line="276" w:lineRule="auto" w:after="40"/>
            </w:pPr>
            <w:r>
              <w:t>train_production_model.py</w:t>
            </w:r>
          </w:p>
        </w:tc>
        <w:tc>
          <w:tcPr>
            <w:tcW w:type="dxa" w:w="1734"/>
            <w:tcMar>
              <w:top w:w="80" w:type="dxa"/>
              <w:bottom w:w="80" w:type="dxa"/>
              <w:left w:w="100" w:type="dxa"/>
              <w:right w:w="100" w:type="dxa"/>
            </w:tcMar>
          </w:tcPr>
          <w:p>
            <w:pPr>
              <w:spacing w:line="276" w:lineRule="auto" w:after="40"/>
            </w:pPr>
            <w:r>
              <w:t>water_potability_engineered.csv</w:t>
            </w:r>
          </w:p>
        </w:tc>
        <w:tc>
          <w:tcPr>
            <w:tcW w:type="dxa" w:w="1734"/>
            <w:tcMar>
              <w:top w:w="80" w:type="dxa"/>
              <w:bottom w:w="80" w:type="dxa"/>
              <w:left w:w="100" w:type="dxa"/>
              <w:right w:w="100" w:type="dxa"/>
            </w:tcMar>
          </w:tcPr>
          <w:p>
            <w:pPr>
              <w:spacing w:line="276" w:lineRule="auto" w:after="40"/>
            </w:pPr>
            <w:r>
              <w:t>5-Fold Stratified CV, model serialization</w:t>
            </w:r>
          </w:p>
        </w:tc>
        <w:tc>
          <w:tcPr>
            <w:tcW w:type="dxa" w:w="1734"/>
            <w:tcMar>
              <w:top w:w="80" w:type="dxa"/>
              <w:bottom w:w="80" w:type="dxa"/>
              <w:left w:w="100" w:type="dxa"/>
              <w:right w:w="100" w:type="dxa"/>
            </w:tcMar>
          </w:tcPr>
          <w:p>
            <w:pPr>
              <w:spacing w:line="276" w:lineRule="auto" w:after="40"/>
            </w:pPr>
            <w:r>
              <w:t>models/water_risk_rf_model.pkl</w:t>
            </w:r>
          </w:p>
        </w:tc>
      </w:tr>
      <w:tr>
        <w:tc>
          <w:tcPr>
            <w:tcW w:type="dxa" w:w="1734"/>
            <w:tcMar>
              <w:top w:w="80" w:type="dxa"/>
              <w:bottom w:w="80" w:type="dxa"/>
              <w:left w:w="100" w:type="dxa"/>
              <w:right w:w="100" w:type="dxa"/>
            </w:tcMar>
          </w:tcPr>
          <w:p>
            <w:pPr>
              <w:spacing w:line="276" w:lineRule="auto" w:after="40"/>
            </w:pPr>
            <w:r>
              <w:rPr>
                <w:b/>
              </w:rPr>
              <w:t>GIS Spatial Surveillance</w:t>
            </w:r>
          </w:p>
        </w:tc>
        <w:tc>
          <w:tcPr>
            <w:tcW w:type="dxa" w:w="1734"/>
            <w:tcMar>
              <w:top w:w="80" w:type="dxa"/>
              <w:bottom w:w="80" w:type="dxa"/>
              <w:left w:w="100" w:type="dxa"/>
              <w:right w:w="100" w:type="dxa"/>
            </w:tcMar>
          </w:tcPr>
          <w:p>
            <w:pPr>
              <w:spacing w:line="276" w:lineRule="auto" w:after="40"/>
            </w:pPr>
            <w:r>
              <w:t>gis_outbreak_mapper.py</w:t>
            </w:r>
          </w:p>
        </w:tc>
        <w:tc>
          <w:tcPr>
            <w:tcW w:type="dxa" w:w="1734"/>
            <w:tcMar>
              <w:top w:w="80" w:type="dxa"/>
              <w:bottom w:w="80" w:type="dxa"/>
              <w:left w:w="100" w:type="dxa"/>
              <w:right w:w="100" w:type="dxa"/>
            </w:tcMar>
          </w:tcPr>
          <w:p>
            <w:pPr>
              <w:spacing w:line="276" w:lineRule="auto" w:after="40"/>
            </w:pPr>
            <w:r>
              <w:t>water_potability_engineered.csv</w:t>
            </w:r>
          </w:p>
        </w:tc>
        <w:tc>
          <w:tcPr>
            <w:tcW w:type="dxa" w:w="1734"/>
            <w:tcMar>
              <w:top w:w="80" w:type="dxa"/>
              <w:bottom w:w="80" w:type="dxa"/>
              <w:left w:w="100" w:type="dxa"/>
              <w:right w:w="100" w:type="dxa"/>
            </w:tcMar>
          </w:tcPr>
          <w:p>
            <w:pPr>
              <w:spacing w:line="276" w:lineRule="auto" w:after="40"/>
            </w:pPr>
            <w:r>
              <w:t>Station geocoding, pathogen vector mapping</w:t>
            </w:r>
          </w:p>
        </w:tc>
        <w:tc>
          <w:tcPr>
            <w:tcW w:type="dxa" w:w="1734"/>
            <w:tcMar>
              <w:top w:w="80" w:type="dxa"/>
              <w:bottom w:w="80" w:type="dxa"/>
              <w:left w:w="100" w:type="dxa"/>
              <w:right w:w="100" w:type="dxa"/>
            </w:tcMar>
          </w:tcPr>
          <w:p>
            <w:pPr>
              <w:spacing w:line="276" w:lineRule="auto" w:after="40"/>
            </w:pPr>
            <w:r>
              <w:t>outbreak_risk_map.html</w:t>
            </w:r>
          </w:p>
        </w:tc>
      </w:tr>
      <w:tr>
        <w:tc>
          <w:tcPr>
            <w:tcW w:type="dxa" w:w="1734"/>
            <w:tcMar>
              <w:top w:w="80" w:type="dxa"/>
              <w:bottom w:w="80" w:type="dxa"/>
              <w:left w:w="100" w:type="dxa"/>
              <w:right w:w="100" w:type="dxa"/>
            </w:tcMar>
          </w:tcPr>
          <w:p>
            <w:pPr>
              <w:spacing w:line="276" w:lineRule="auto" w:after="40"/>
            </w:pPr>
            <w:r>
              <w:rPr>
                <w:b/>
              </w:rPr>
              <w:t>Web Application GUI</w:t>
            </w:r>
          </w:p>
        </w:tc>
        <w:tc>
          <w:tcPr>
            <w:tcW w:type="dxa" w:w="1734"/>
            <w:tcMar>
              <w:top w:w="80" w:type="dxa"/>
              <w:bottom w:w="80" w:type="dxa"/>
              <w:left w:w="100" w:type="dxa"/>
              <w:right w:w="100" w:type="dxa"/>
            </w:tcMar>
          </w:tcPr>
          <w:p>
            <w:pPr>
              <w:spacing w:line="276" w:lineRule="auto" w:after="40"/>
            </w:pPr>
            <w:r>
              <w:t>app.py</w:t>
            </w:r>
          </w:p>
        </w:tc>
        <w:tc>
          <w:tcPr>
            <w:tcW w:type="dxa" w:w="1734"/>
            <w:tcMar>
              <w:top w:w="80" w:type="dxa"/>
              <w:bottom w:w="80" w:type="dxa"/>
              <w:left w:w="100" w:type="dxa"/>
              <w:right w:w="100" w:type="dxa"/>
            </w:tcMar>
          </w:tcPr>
          <w:p>
            <w:pPr>
              <w:spacing w:line="276" w:lineRule="auto" w:after="40"/>
            </w:pPr>
            <w:r>
              <w:t>models/water_risk_rf_model.pkl</w:t>
            </w:r>
          </w:p>
        </w:tc>
        <w:tc>
          <w:tcPr>
            <w:tcW w:type="dxa" w:w="1734"/>
            <w:tcMar>
              <w:top w:w="80" w:type="dxa"/>
              <w:bottom w:w="80" w:type="dxa"/>
              <w:left w:w="100" w:type="dxa"/>
              <w:right w:w="100" w:type="dxa"/>
            </w:tcMar>
          </w:tcPr>
          <w:p>
            <w:pPr>
              <w:spacing w:line="276" w:lineRule="auto" w:after="40"/>
            </w:pPr>
            <w:r>
              <w:t>Streamlit 4-tab reactive dashboard</w:t>
            </w:r>
          </w:p>
        </w:tc>
        <w:tc>
          <w:tcPr>
            <w:tcW w:type="dxa" w:w="1734"/>
            <w:tcMar>
              <w:top w:w="80" w:type="dxa"/>
              <w:bottom w:w="80" w:type="dxa"/>
              <w:left w:w="100" w:type="dxa"/>
              <w:right w:w="100" w:type="dxa"/>
            </w:tcMar>
          </w:tcPr>
          <w:p>
            <w:pPr>
              <w:spacing w:line="276" w:lineRule="auto" w:after="40"/>
            </w:pPr>
            <w:r>
              <w:t>Live web app (localhost:8501)</w:t>
            </w:r>
          </w:p>
        </w:tc>
      </w:tr>
    </w:tbl>
    <w:p>
      <w:pPr>
        <w:spacing w:before="280" w:after="120" w:line="360" w:lineRule="auto"/>
        <w:jc w:val="left"/>
      </w:pPr>
      <w:r>
        <w:rPr>
          <w:rFonts w:ascii="Times New Roman" w:hAnsi="Times New Roman"/>
          <w:b/>
          <w:color w:val="000000"/>
          <w:sz w:val="32"/>
        </w:rPr>
        <w:t>6.2 Object-Oriented Software Architecture (pipeline_oop.py)</w:t>
      </w:r>
    </w:p>
    <w:p>
      <w:pPr>
        <w:spacing w:line="360" w:lineRule="auto" w:after="120"/>
        <w:jc w:val="both"/>
      </w:pPr>
      <w:r>
        <w:rPr>
          <w:rFonts w:ascii="Times New Roman" w:hAnsi="Times New Roman"/>
          <w:color w:val="000000"/>
          <w:sz w:val="24"/>
        </w:rPr>
        <w:t>To ensure enterprise-grade software maintainability, the entire pipeline was refactored into an Object-Oriented Programming (OOP) module in pipeline_oop.py conforming to the Single Responsibility Principle (SRP). The architecture consists of six dedicated classes:</w:t>
      </w:r>
    </w:p>
    <w:p>
      <w:pPr>
        <w:pStyle w:val="ListBullet"/>
        <w:spacing w:line="360" w:lineRule="auto" w:after="80"/>
        <w:jc w:val="both"/>
      </w:pPr>
      <w:r>
        <w:rPr>
          <w:rFonts w:ascii="Times New Roman" w:hAnsi="Times New Roman"/>
          <w:b/>
          <w:color w:val="000000"/>
          <w:sz w:val="24"/>
        </w:rPr>
        <w:t xml:space="preserve">1. DataLoader: </w:t>
      </w:r>
      <w:r>
        <w:rPr>
          <w:rFonts w:ascii="Times New Roman" w:hAnsi="Times New Roman"/>
          <w:color w:val="000000"/>
          <w:sz w:val="24"/>
        </w:rPr>
        <w:t>Encapsulates file I/O operations, verifies file existence, parses CSV data into a Pandas DataFrame, and audits shape integrity.</w:t>
      </w:r>
    </w:p>
    <w:p>
      <w:pPr>
        <w:pStyle w:val="ListBullet"/>
        <w:spacing w:line="360" w:lineRule="auto" w:after="80"/>
        <w:jc w:val="both"/>
      </w:pPr>
      <w:r>
        <w:rPr>
          <w:rFonts w:ascii="Times New Roman" w:hAnsi="Times New Roman"/>
          <w:b/>
          <w:color w:val="000000"/>
          <w:sz w:val="24"/>
        </w:rPr>
        <w:t xml:space="preserve">2. DataCleaner: </w:t>
      </w:r>
      <w:r>
        <w:rPr>
          <w:rFonts w:ascii="Times New Roman" w:hAnsi="Times New Roman"/>
          <w:color w:val="000000"/>
          <w:sz w:val="24"/>
        </w:rPr>
        <w:t>Maintains internal state of training median vectors, executes fit_transform() on training data, and provides transform() for inference.</w:t>
      </w:r>
    </w:p>
    <w:p>
      <w:pPr>
        <w:pStyle w:val="ListBullet"/>
        <w:spacing w:line="360" w:lineRule="auto" w:after="80"/>
        <w:jc w:val="both"/>
      </w:pPr>
      <w:r>
        <w:rPr>
          <w:rFonts w:ascii="Times New Roman" w:hAnsi="Times New Roman"/>
          <w:b/>
          <w:color w:val="000000"/>
          <w:sz w:val="24"/>
        </w:rPr>
        <w:t xml:space="preserve">3. FeatureEngineer: </w:t>
      </w:r>
      <w:r>
        <w:rPr>
          <w:rFonts w:ascii="Times New Roman" w:hAnsi="Times New Roman"/>
          <w:color w:val="000000"/>
          <w:sz w:val="24"/>
        </w:rPr>
        <w:t>Executes vectorized calculations for the Contamination Risk Index (CRI), pH safe envelope deviation, and quantile risk bins.</w:t>
      </w:r>
    </w:p>
    <w:p>
      <w:pPr>
        <w:pStyle w:val="ListBullet"/>
        <w:spacing w:line="360" w:lineRule="auto" w:after="80"/>
        <w:jc w:val="both"/>
      </w:pPr>
      <w:r>
        <w:rPr>
          <w:rFonts w:ascii="Times New Roman" w:hAnsi="Times New Roman"/>
          <w:b/>
          <w:color w:val="000000"/>
          <w:sz w:val="24"/>
        </w:rPr>
        <w:t xml:space="preserve">4. ModelTrainer: </w:t>
      </w:r>
      <w:r>
        <w:rPr>
          <w:rFonts w:ascii="Times New Roman" w:hAnsi="Times New Roman"/>
          <w:color w:val="000000"/>
          <w:sz w:val="24"/>
        </w:rPr>
        <w:t>Executes stratified data partitioning, StandardScaler normalization, model fitting, holdout scoring, and Gini importance extraction.</w:t>
      </w:r>
    </w:p>
    <w:p>
      <w:pPr>
        <w:pStyle w:val="ListBullet"/>
        <w:spacing w:line="360" w:lineRule="auto" w:after="80"/>
        <w:jc w:val="both"/>
      </w:pPr>
      <w:r>
        <w:rPr>
          <w:rFonts w:ascii="Times New Roman" w:hAnsi="Times New Roman"/>
          <w:b/>
          <w:color w:val="000000"/>
          <w:sz w:val="24"/>
        </w:rPr>
        <w:t xml:space="preserve">5. Visualizer: </w:t>
      </w:r>
      <w:r>
        <w:rPr>
          <w:rFonts w:ascii="Times New Roman" w:hAnsi="Times New Roman"/>
          <w:color w:val="000000"/>
          <w:sz w:val="24"/>
        </w:rPr>
        <w:t>Generates and exports publication-quality diagnostic bar charts and correlation heatmaps to disk.</w:t>
      </w:r>
    </w:p>
    <w:p>
      <w:pPr>
        <w:pStyle w:val="ListBullet"/>
        <w:spacing w:line="360" w:lineRule="auto" w:after="80"/>
        <w:jc w:val="both"/>
      </w:pPr>
      <w:r>
        <w:rPr>
          <w:rFonts w:ascii="Times New Roman" w:hAnsi="Times New Roman"/>
          <w:b/>
          <w:color w:val="000000"/>
          <w:sz w:val="24"/>
        </w:rPr>
        <w:t xml:space="preserve">6. WaterborneDiseasePipeline: </w:t>
      </w:r>
      <w:r>
        <w:rPr>
          <w:rFonts w:ascii="Times New Roman" w:hAnsi="Times New Roman"/>
          <w:color w:val="000000"/>
          <w:sz w:val="24"/>
        </w:rPr>
        <w:t>The master orchestrator class implementing composition to sequence and execute all modular components in a deterministic workflow.</w:t>
      </w:r>
    </w:p>
    <w:p>
      <w:pPr>
        <w:spacing w:line="360" w:lineRule="auto" w:after="120"/>
        <w:jc w:val="both"/>
      </w:pPr>
      <w:r>
        <w:rPr>
          <w:rFonts w:ascii="Times New Roman" w:hAnsi="Times New Roman"/>
          <w:color w:val="000000"/>
          <w:sz w:val="24"/>
        </w:rPr>
        <w:t>[Insert Figure 6.1: UML Class Diagram for Object-Oriented Pipeline Architecture (pipeline_oop.py)]</w:t>
        <w:br/>
        <w:t>Figure 6.1 documents the Unified Modeling Language (UML) structural relationships, depicting how WaterborneDiseasePipeline composes DataLoader, DataCleaner, FeatureEngineer, ModelTrainer, and Visualizer.</w:t>
      </w:r>
    </w:p>
    <w:p>
      <w:pPr>
        <w:spacing w:before="80" w:after="240"/>
        <w:jc w:val="center"/>
      </w:pPr>
      <w:r>
        <w:rPr>
          <w:rFonts w:ascii="Times New Roman" w:hAnsi="Times New Roman"/>
          <w:b/>
          <w:color w:val="000000"/>
          <w:sz w:val="24"/>
        </w:rPr>
        <w:t>Figure 6.1: UML Class Diagram for Object-Oriented Pipeline Architecture (pipeline_oop.py)</w:t>
      </w:r>
    </w:p>
    <w:p>
      <w:pPr>
        <w:spacing w:before="280" w:after="120" w:line="360" w:lineRule="auto"/>
        <w:jc w:val="left"/>
      </w:pPr>
      <w:r>
        <w:rPr>
          <w:rFonts w:ascii="Times New Roman" w:hAnsi="Times New Roman"/>
          <w:b/>
          <w:color w:val="000000"/>
          <w:sz w:val="32"/>
        </w:rPr>
        <w:t>6.3 Spatial GIS Surveillance Module (gis_outbreak_mapper.py)</w:t>
      </w:r>
    </w:p>
    <w:p>
      <w:pPr>
        <w:spacing w:line="360" w:lineRule="auto" w:after="120"/>
        <w:jc w:val="both"/>
      </w:pPr>
      <w:r>
        <w:rPr>
          <w:rFonts w:ascii="Times New Roman" w:hAnsi="Times New Roman"/>
          <w:color w:val="000000"/>
          <w:sz w:val="24"/>
        </w:rPr>
        <w:t>The GIS engine translates machine learning potability probabilities into actionable spatial epidemiological surveillance. Eight representative municipal monitoring stations are geocoded across an urban grid (Bengaluru telemetry frame: 12.97°N, 77.59°E), representing central water treatment plants, informal settlement pipelines, lake reservoirs, and industrial drainage boundaries. For each node, composite risk is calculated as:</w:t>
      </w:r>
    </w:p>
    <w:p>
      <w:pPr>
        <w:spacing w:line="360" w:lineRule="auto" w:after="120"/>
        <w:jc w:val="both"/>
      </w:pPr>
      <w:r>
        <w:rPr>
          <w:rFonts w:ascii="Times New Roman" w:hAnsi="Times New Roman"/>
          <w:color w:val="000000"/>
          <w:sz w:val="24"/>
        </w:rPr>
        <w:t>Composite_Risk = 0.6 * P(Unsafe | x) + 0.4 * CRI</w:t>
      </w:r>
    </w:p>
    <w:p>
      <w:pPr>
        <w:spacing w:line="360" w:lineRule="auto" w:after="120"/>
        <w:jc w:val="both"/>
      </w:pPr>
      <w:r>
        <w:rPr>
          <w:rFonts w:ascii="Times New Roman" w:hAnsi="Times New Roman"/>
          <w:color w:val="000000"/>
          <w:sz w:val="24"/>
        </w:rPr>
        <w:t>The system applies deterministic epidemiological rules to map chemical anomalies to specific pathogen vectors and municipal action protocols, as defined in Table 6.2.</w:t>
      </w:r>
    </w:p>
    <w:p>
      <w:pPr>
        <w:spacing w:before="240" w:after="80"/>
        <w:jc w:val="center"/>
      </w:pPr>
      <w:r>
        <w:rPr>
          <w:rFonts w:ascii="Times New Roman" w:hAnsi="Times New Roman"/>
          <w:b/>
          <w:color w:val="000000"/>
          <w:sz w:val="24"/>
        </w:rPr>
        <w:t>Table 6.2: Epidemiological Pathogen Vector and Municipal Action Protocol Mapping Rules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0F2043"/>
            <w:tcMar>
              <w:top w:w="80" w:type="dxa"/>
              <w:bottom w:w="80" w:type="dxa"/>
              <w:left w:w="100" w:type="dxa"/>
              <w:right w:w="100" w:type="dxa"/>
            </w:tcMar>
          </w:tcPr>
          <w:p>
            <w:pPr>
              <w:spacing w:line="276" w:lineRule="auto" w:after="40"/>
            </w:pPr>
            <w:r>
              <w:rPr>
                <w:b/>
                <w:color w:val="FFFFFF"/>
              </w:rPr>
              <w:t>Risk Tier</w:t>
            </w:r>
          </w:p>
        </w:tc>
        <w:tc>
          <w:tcPr>
            <w:tcW w:type="dxa" w:w="1734"/>
            <w:shd w:fill="0F2043"/>
            <w:tcMar>
              <w:top w:w="80" w:type="dxa"/>
              <w:bottom w:w="80" w:type="dxa"/>
              <w:left w:w="100" w:type="dxa"/>
              <w:right w:w="100" w:type="dxa"/>
            </w:tcMar>
          </w:tcPr>
          <w:p>
            <w:pPr>
              <w:spacing w:line="276" w:lineRule="auto" w:after="40"/>
            </w:pPr>
            <w:r>
              <w:rPr>
                <w:b/>
                <w:color w:val="FFFFFF"/>
              </w:rPr>
              <w:t>Condition Thresholds</w:t>
            </w:r>
          </w:p>
        </w:tc>
        <w:tc>
          <w:tcPr>
            <w:tcW w:type="dxa" w:w="1734"/>
            <w:shd w:fill="0F2043"/>
            <w:tcMar>
              <w:top w:w="80" w:type="dxa"/>
              <w:bottom w:w="80" w:type="dxa"/>
              <w:left w:w="100" w:type="dxa"/>
              <w:right w:w="100" w:type="dxa"/>
            </w:tcMar>
          </w:tcPr>
          <w:p>
            <w:pPr>
              <w:spacing w:line="276" w:lineRule="auto" w:after="40"/>
            </w:pPr>
            <w:r>
              <w:rPr>
                <w:b/>
                <w:color w:val="FFFFFF"/>
              </w:rPr>
              <w:t>Marker Color</w:t>
            </w:r>
          </w:p>
        </w:tc>
        <w:tc>
          <w:tcPr>
            <w:tcW w:type="dxa" w:w="1734"/>
            <w:shd w:fill="0F2043"/>
            <w:tcMar>
              <w:top w:w="80" w:type="dxa"/>
              <w:bottom w:w="80" w:type="dxa"/>
              <w:left w:w="100" w:type="dxa"/>
              <w:right w:w="100" w:type="dxa"/>
            </w:tcMar>
          </w:tcPr>
          <w:p>
            <w:pPr>
              <w:spacing w:line="276" w:lineRule="auto" w:after="40"/>
            </w:pPr>
            <w:r>
              <w:rPr>
                <w:b/>
                <w:color w:val="FFFFFF"/>
              </w:rPr>
              <w:t>Suspected Pathogen Hazards</w:t>
            </w:r>
          </w:p>
        </w:tc>
        <w:tc>
          <w:tcPr>
            <w:tcW w:type="dxa" w:w="1734"/>
            <w:shd w:fill="0F2043"/>
            <w:tcMar>
              <w:top w:w="80" w:type="dxa"/>
              <w:bottom w:w="80" w:type="dxa"/>
              <w:left w:w="100" w:type="dxa"/>
              <w:right w:w="100" w:type="dxa"/>
            </w:tcMar>
          </w:tcPr>
          <w:p>
            <w:pPr>
              <w:spacing w:line="276" w:lineRule="auto" w:after="40"/>
            </w:pPr>
            <w:r>
              <w:rPr>
                <w:b/>
                <w:color w:val="FFFFFF"/>
              </w:rPr>
              <w:t>Automated Municipal Action Protocol</w:t>
            </w:r>
          </w:p>
        </w:tc>
      </w:tr>
      <w:tr>
        <w:tc>
          <w:tcPr>
            <w:tcW w:type="dxa" w:w="1734"/>
            <w:tcMar>
              <w:top w:w="80" w:type="dxa"/>
              <w:bottom w:w="80" w:type="dxa"/>
              <w:left w:w="100" w:type="dxa"/>
              <w:right w:w="100" w:type="dxa"/>
            </w:tcMar>
          </w:tcPr>
          <w:p>
            <w:pPr>
              <w:spacing w:line="276" w:lineRule="auto" w:after="40"/>
            </w:pPr>
            <w:r>
              <w:rPr>
                <w:b/>
              </w:rPr>
              <w:t>Critical Outbreak Alert</w:t>
            </w:r>
          </w:p>
        </w:tc>
        <w:tc>
          <w:tcPr>
            <w:tcW w:type="dxa" w:w="1734"/>
            <w:tcMar>
              <w:top w:w="80" w:type="dxa"/>
              <w:bottom w:w="80" w:type="dxa"/>
              <w:left w:w="100" w:type="dxa"/>
              <w:right w:w="100" w:type="dxa"/>
            </w:tcMar>
          </w:tcPr>
          <w:p>
            <w:pPr>
              <w:spacing w:line="276" w:lineRule="auto" w:after="40"/>
            </w:pPr>
            <w:r>
              <w:t>Turbidity &gt; 4.5 NTU OR Organic Carbon &gt; 16.0 ppm; Composite Risk &gt;= 0.65</w:t>
            </w:r>
          </w:p>
        </w:tc>
        <w:tc>
          <w:tcPr>
            <w:tcW w:type="dxa" w:w="1734"/>
            <w:tcMar>
              <w:top w:w="80" w:type="dxa"/>
              <w:bottom w:w="80" w:type="dxa"/>
              <w:left w:w="100" w:type="dxa"/>
              <w:right w:w="100" w:type="dxa"/>
            </w:tcMar>
          </w:tcPr>
          <w:p>
            <w:pPr>
              <w:spacing w:line="276" w:lineRule="auto" w:after="40"/>
            </w:pPr>
            <w:r>
              <w:t>Red</w:t>
            </w:r>
          </w:p>
        </w:tc>
        <w:tc>
          <w:tcPr>
            <w:tcW w:type="dxa" w:w="1734"/>
            <w:tcMar>
              <w:top w:w="80" w:type="dxa"/>
              <w:bottom w:w="80" w:type="dxa"/>
              <w:left w:w="100" w:type="dxa"/>
              <w:right w:w="100" w:type="dxa"/>
            </w:tcMar>
          </w:tcPr>
          <w:p>
            <w:pPr>
              <w:spacing w:line="276" w:lineRule="auto" w:after="40"/>
            </w:pPr>
            <w:r>
              <w:t>Vibrio cholerae (Cholera), Salmonella typhi (Typhoid), Rotavirus</w:t>
            </w:r>
          </w:p>
        </w:tc>
        <w:tc>
          <w:tcPr>
            <w:tcW w:type="dxa" w:w="1734"/>
            <w:tcMar>
              <w:top w:w="80" w:type="dxa"/>
              <w:bottom w:w="80" w:type="dxa"/>
              <w:left w:w="100" w:type="dxa"/>
              <w:right w:w="100" w:type="dxa"/>
            </w:tcMar>
          </w:tcPr>
          <w:p>
            <w:pPr>
              <w:spacing w:line="276" w:lineRule="auto" w:after="40"/>
            </w:pPr>
            <w:r>
              <w:t>Issue immediate boil-water advisory; accelerate secondary coagulation &amp; flocculation.</w:t>
            </w:r>
          </w:p>
        </w:tc>
      </w:tr>
      <w:tr>
        <w:tc>
          <w:tcPr>
            <w:tcW w:type="dxa" w:w="1734"/>
            <w:tcMar>
              <w:top w:w="80" w:type="dxa"/>
              <w:bottom w:w="80" w:type="dxa"/>
              <w:left w:w="100" w:type="dxa"/>
              <w:right w:w="100" w:type="dxa"/>
            </w:tcMar>
          </w:tcPr>
          <w:p>
            <w:pPr>
              <w:spacing w:line="276" w:lineRule="auto" w:after="40"/>
            </w:pPr>
            <w:r>
              <w:rPr>
                <w:b/>
              </w:rPr>
              <w:t>Moderate Hazard Warning</w:t>
            </w:r>
          </w:p>
        </w:tc>
        <w:tc>
          <w:tcPr>
            <w:tcW w:type="dxa" w:w="1734"/>
            <w:tcMar>
              <w:top w:w="80" w:type="dxa"/>
              <w:bottom w:w="80" w:type="dxa"/>
              <w:left w:w="100" w:type="dxa"/>
              <w:right w:w="100" w:type="dxa"/>
            </w:tcMar>
          </w:tcPr>
          <w:p>
            <w:pPr>
              <w:spacing w:line="276" w:lineRule="auto" w:after="40"/>
            </w:pPr>
            <w:r>
              <w:t>Chloramines &lt; 4.0 ppm with moderate CRI; 0.48 &lt;= Composite Risk &lt; 0.65</w:t>
            </w:r>
          </w:p>
        </w:tc>
        <w:tc>
          <w:tcPr>
            <w:tcW w:type="dxa" w:w="1734"/>
            <w:tcMar>
              <w:top w:w="80" w:type="dxa"/>
              <w:bottom w:w="80" w:type="dxa"/>
              <w:left w:w="100" w:type="dxa"/>
              <w:right w:w="100" w:type="dxa"/>
            </w:tcMar>
          </w:tcPr>
          <w:p>
            <w:pPr>
              <w:spacing w:line="276" w:lineRule="auto" w:after="40"/>
            </w:pPr>
            <w:r>
              <w:t>Orange</w:t>
            </w:r>
          </w:p>
        </w:tc>
        <w:tc>
          <w:tcPr>
            <w:tcW w:type="dxa" w:w="1734"/>
            <w:tcMar>
              <w:top w:w="80" w:type="dxa"/>
              <w:bottom w:w="80" w:type="dxa"/>
              <w:left w:w="100" w:type="dxa"/>
              <w:right w:w="100" w:type="dxa"/>
            </w:tcMar>
          </w:tcPr>
          <w:p>
            <w:pPr>
              <w:spacing w:line="276" w:lineRule="auto" w:after="40"/>
            </w:pPr>
            <w:r>
              <w:t>Secondary distribution pipeline bacterial re-growth</w:t>
            </w:r>
          </w:p>
        </w:tc>
        <w:tc>
          <w:tcPr>
            <w:tcW w:type="dxa" w:w="1734"/>
            <w:tcMar>
              <w:top w:w="80" w:type="dxa"/>
              <w:bottom w:w="80" w:type="dxa"/>
              <w:left w:w="100" w:type="dxa"/>
              <w:right w:w="100" w:type="dxa"/>
            </w:tcMar>
          </w:tcPr>
          <w:p>
            <w:pPr>
              <w:spacing w:line="276" w:lineRule="auto" w:after="40"/>
            </w:pPr>
            <w:r>
              <w:t>Dispatch mobile emergency chlorine booster injection units.</w:t>
            </w:r>
          </w:p>
        </w:tc>
      </w:tr>
      <w:tr>
        <w:tc>
          <w:tcPr>
            <w:tcW w:type="dxa" w:w="1734"/>
            <w:tcMar>
              <w:top w:w="80" w:type="dxa"/>
              <w:bottom w:w="80" w:type="dxa"/>
              <w:left w:w="100" w:type="dxa"/>
              <w:right w:w="100" w:type="dxa"/>
            </w:tcMar>
          </w:tcPr>
          <w:p>
            <w:pPr>
              <w:spacing w:line="276" w:lineRule="auto" w:after="40"/>
            </w:pPr>
            <w:r>
              <w:rPr>
                <w:b/>
              </w:rPr>
              <w:t>Low Risk Baseline</w:t>
            </w:r>
          </w:p>
        </w:tc>
        <w:tc>
          <w:tcPr>
            <w:tcW w:type="dxa" w:w="1734"/>
            <w:tcMar>
              <w:top w:w="80" w:type="dxa"/>
              <w:bottom w:w="80" w:type="dxa"/>
              <w:left w:w="100" w:type="dxa"/>
              <w:right w:w="100" w:type="dxa"/>
            </w:tcMar>
          </w:tcPr>
          <w:p>
            <w:pPr>
              <w:spacing w:line="276" w:lineRule="auto" w:after="40"/>
            </w:pPr>
            <w:r>
              <w:t>All chemical parameters within WHO standards; Composite Risk &lt; 0.48</w:t>
            </w:r>
          </w:p>
        </w:tc>
        <w:tc>
          <w:tcPr>
            <w:tcW w:type="dxa" w:w="1734"/>
            <w:tcMar>
              <w:top w:w="80" w:type="dxa"/>
              <w:bottom w:w="80" w:type="dxa"/>
              <w:left w:w="100" w:type="dxa"/>
              <w:right w:w="100" w:type="dxa"/>
            </w:tcMar>
          </w:tcPr>
          <w:p>
            <w:pPr>
              <w:spacing w:line="276" w:lineRule="auto" w:after="40"/>
            </w:pPr>
            <w:r>
              <w:t>Green</w:t>
            </w:r>
          </w:p>
        </w:tc>
        <w:tc>
          <w:tcPr>
            <w:tcW w:type="dxa" w:w="1734"/>
            <w:tcMar>
              <w:top w:w="80" w:type="dxa"/>
              <w:bottom w:w="80" w:type="dxa"/>
              <w:left w:w="100" w:type="dxa"/>
              <w:right w:w="100" w:type="dxa"/>
            </w:tcMar>
          </w:tcPr>
          <w:p>
            <w:pPr>
              <w:spacing w:line="276" w:lineRule="auto" w:after="40"/>
            </w:pPr>
            <w:r>
              <w:t>None detected / within baseline safety limits</w:t>
            </w:r>
          </w:p>
        </w:tc>
        <w:tc>
          <w:tcPr>
            <w:tcW w:type="dxa" w:w="1734"/>
            <w:tcMar>
              <w:top w:w="80" w:type="dxa"/>
              <w:bottom w:w="80" w:type="dxa"/>
              <w:left w:w="100" w:type="dxa"/>
              <w:right w:w="100" w:type="dxa"/>
            </w:tcMar>
          </w:tcPr>
          <w:p>
            <w:pPr>
              <w:spacing w:line="276" w:lineRule="auto" w:after="40"/>
            </w:pPr>
            <w:r>
              <w:t>Maintain routine automated distribution pressure and weekly sensor calibration.</w:t>
            </w:r>
          </w:p>
        </w:tc>
      </w:tr>
    </w:tbl>
    <w:p>
      <w:pPr>
        <w:spacing w:line="360" w:lineRule="auto" w:after="120"/>
        <w:jc w:val="both"/>
      </w:pPr>
      <w:r>
        <w:rPr>
          <w:rFonts w:ascii="Times New Roman" w:hAnsi="Times New Roman"/>
          <w:color w:val="000000"/>
          <w:sz w:val="24"/>
        </w:rPr>
        <w:t>[Insert Figure 6.2: Interactive GIS Surveillance Dashboard Interface (outbreak_risk_map.html)]</w:t>
        <w:br/>
        <w:t>Figure 6.2 illustrates the interactive Folium interface, showcasing multi-layer CartoDB Voyager, Esri Street Map, and Satellite toggles, risk clustering heatmaps, and station popups detailing chemical anomalies and municipal advisories.</w:t>
      </w:r>
    </w:p>
    <w:p>
      <w:pPr>
        <w:spacing w:before="80" w:after="240"/>
        <w:jc w:val="center"/>
      </w:pPr>
      <w:r>
        <w:rPr>
          <w:rFonts w:ascii="Times New Roman" w:hAnsi="Times New Roman"/>
          <w:b/>
          <w:color w:val="000000"/>
          <w:sz w:val="24"/>
        </w:rPr>
        <w:t>Figure 6.2: Interactive GIS Surveillance Dashboard Interface (outbreak_risk_map.html)</w:t>
      </w:r>
    </w:p>
    <w:p>
      <w:pPr>
        <w:spacing w:before="280" w:after="120" w:line="360" w:lineRule="auto"/>
        <w:jc w:val="left"/>
      </w:pPr>
      <w:r>
        <w:rPr>
          <w:rFonts w:ascii="Times New Roman" w:hAnsi="Times New Roman"/>
          <w:b/>
          <w:color w:val="000000"/>
          <w:sz w:val="32"/>
        </w:rPr>
        <w:t>6.4 Interactive Web Application (app.py)</w:t>
      </w:r>
    </w:p>
    <w:p>
      <w:pPr>
        <w:spacing w:line="360" w:lineRule="auto" w:after="120"/>
        <w:jc w:val="both"/>
      </w:pPr>
      <w:r>
        <w:rPr>
          <w:rFonts w:ascii="Times New Roman" w:hAnsi="Times New Roman"/>
          <w:color w:val="000000"/>
          <w:sz w:val="24"/>
        </w:rPr>
        <w:t>To enable real-time operational deployment, a four-tab Streamlit dashboard was implemented: (1) Real-Time Water Quality Diagnostic featuring interactive chemical sliders, live risk gauges, and pathogen alerts; (2) Interactive GIS Outbreak Map displaying embedded Folium maps with station filtering; (3) Model Benchmarking &amp; Explainability displaying 5-fold cross-validation tables, confusion matrices, and Gini charts; and (4) Batch Water Sample Triage enabling drag-and-drop CSV processing and downloadable public health reports.</w:t>
      </w:r>
    </w:p>
    <w:p>
      <w:pPr>
        <w:spacing w:line="360" w:lineRule="auto" w:after="120"/>
        <w:jc w:val="both"/>
      </w:pPr>
      <w:r>
        <w:rPr>
          <w:rFonts w:ascii="Times New Roman" w:hAnsi="Times New Roman"/>
          <w:color w:val="000000"/>
          <w:sz w:val="24"/>
        </w:rPr>
        <w:t>[Insert Figure 6.3: Streamlit Real-Time Decision-Support Web Application Interface (app.py)]</w:t>
        <w:br/>
        <w:t>Figure 6.3 demonstrates the browser-based dashboard interface, illustrating instantaneous risk scoring and municipal advisory formulation.</w:t>
      </w:r>
    </w:p>
    <w:p>
      <w:pPr>
        <w:spacing w:before="80" w:after="240"/>
        <w:jc w:val="center"/>
      </w:pPr>
      <w:r>
        <w:rPr>
          <w:rFonts w:ascii="Times New Roman" w:hAnsi="Times New Roman"/>
          <w:b/>
          <w:color w:val="000000"/>
          <w:sz w:val="24"/>
        </w:rPr>
        <w:t>Figure 6.3: Streamlit Real-Time Decision-Support Web Application Interface (app.py)</w:t>
      </w:r>
    </w:p>
    <w:p>
      <w:pPr>
        <w:spacing w:before="280" w:after="120" w:line="360" w:lineRule="auto"/>
        <w:jc w:val="left"/>
      </w:pPr>
      <w:r>
        <w:rPr>
          <w:rFonts w:ascii="Times New Roman" w:hAnsi="Times New Roman"/>
          <w:b/>
          <w:color w:val="000000"/>
          <w:sz w:val="32"/>
        </w:rPr>
        <w:t>6.5 Summary</w:t>
      </w:r>
    </w:p>
    <w:p>
      <w:pPr>
        <w:spacing w:line="360" w:lineRule="auto" w:after="120"/>
        <w:jc w:val="both"/>
      </w:pPr>
      <w:r>
        <w:rPr>
          <w:rFonts w:ascii="Times New Roman" w:hAnsi="Times New Roman"/>
          <w:color w:val="000000"/>
          <w:sz w:val="24"/>
        </w:rPr>
        <w:t>Chapter 6 established the comprehensive software implementation and integration mechanisms bridging backend machine learning with frontend spatial surveillance.</w:t>
      </w:r>
    </w:p>
    <w:p>
      <w:pPr>
        <w:pageBreakBefore/>
        <w:spacing w:before="360" w:after="360" w:line="360" w:lineRule="auto"/>
        <w:jc w:val="center"/>
      </w:pPr>
      <w:r>
        <w:rPr>
          <w:rFonts w:ascii="Times New Roman" w:hAnsi="Times New Roman"/>
          <w:b/>
          <w:color w:val="000000"/>
          <w:sz w:val="36"/>
        </w:rPr>
        <w:t>CHAPTER 7</w:t>
        <w:br/>
        <w:t>TIMELINE FOR EXECUTION OF PROJECT</w:t>
        <w:br/>
        <w:t>(GANTT CHART)</w:t>
      </w:r>
    </w:p>
    <w:p>
      <w:pPr>
        <w:spacing w:line="360" w:lineRule="auto" w:after="120"/>
        <w:jc w:val="both"/>
      </w:pPr>
      <w:r>
        <w:rPr>
          <w:rFonts w:ascii="Times New Roman" w:hAnsi="Times New Roman"/>
          <w:color w:val="000000"/>
          <w:sz w:val="24"/>
        </w:rPr>
        <w:t>The project was executed over a structured 10-week development lifecycle, adhering to academic milestones and software engineering sprints. The execution timeline is mapped in Figure 7.1.</w:t>
      </w:r>
    </w:p>
    <w:p>
      <w:pPr>
        <w:spacing w:line="360" w:lineRule="auto" w:after="120"/>
        <w:jc w:val="both"/>
      </w:pPr>
      <w:r>
        <w:rPr>
          <w:rFonts w:ascii="Times New Roman" w:hAnsi="Times New Roman"/>
          <w:color w:val="000000"/>
          <w:sz w:val="24"/>
        </w:rPr>
        <w:t>[Insert Figure 7.1: Gantt Chart Representing the 10-Week Project Execution Timeline]</w:t>
        <w:br/>
        <w:t>Figure 7.1 depicts the sequential work breakdown structure spanning Problem Formulation (Weeks 1-2), Data Preprocessing &amp; Imputation (Weeks 3-4), Feature Engineering &amp; Baseline Modeling (Weeks 5-6), 5-Fold Cross-Validation &amp; Model Serialization (Weeks 7-8), GIS Engine &amp; Streamlit Dashboard Development (Week 9), and Final Review &amp; IEEE Paper Documentation (Week 10).</w:t>
      </w:r>
    </w:p>
    <w:p>
      <w:pPr>
        <w:spacing w:before="80" w:after="240"/>
        <w:jc w:val="center"/>
      </w:pPr>
      <w:r>
        <w:rPr>
          <w:rFonts w:ascii="Times New Roman" w:hAnsi="Times New Roman"/>
          <w:b/>
          <w:color w:val="000000"/>
          <w:sz w:val="24"/>
        </w:rPr>
        <w:t>Figure 7.1: Gantt Chart Representing the 10-Week Project Execution Timeline</w:t>
      </w:r>
    </w:p>
    <w:p>
      <w:pPr>
        <w:pageBreakBefore/>
        <w:spacing w:before="360" w:after="360" w:line="360" w:lineRule="auto"/>
        <w:jc w:val="center"/>
      </w:pPr>
      <w:r>
        <w:rPr>
          <w:rFonts w:ascii="Times New Roman" w:hAnsi="Times New Roman"/>
          <w:b/>
          <w:color w:val="000000"/>
          <w:sz w:val="36"/>
        </w:rPr>
        <w:t>CHAPTER 8</w:t>
        <w:br/>
        <w:t>OUTCOMES</w:t>
      </w:r>
    </w:p>
    <w:p>
      <w:pPr>
        <w:spacing w:line="360" w:lineRule="auto" w:after="120"/>
        <w:jc w:val="both"/>
      </w:pPr>
      <w:r>
        <w:rPr>
          <w:rFonts w:ascii="Times New Roman" w:hAnsi="Times New Roman"/>
          <w:color w:val="000000"/>
          <w:sz w:val="24"/>
        </w:rPr>
        <w:t>The execution of PRJ_441 produced four concrete technical and operational outcomes:</w:t>
      </w:r>
    </w:p>
    <w:p>
      <w:pPr>
        <w:pStyle w:val="ListBullet"/>
        <w:spacing w:line="360" w:lineRule="auto" w:after="80"/>
        <w:jc w:val="both"/>
      </w:pPr>
      <w:r>
        <w:rPr>
          <w:rFonts w:ascii="Times New Roman" w:hAnsi="Times New Roman"/>
          <w:b/>
          <w:color w:val="000000"/>
          <w:sz w:val="24"/>
        </w:rPr>
        <w:t xml:space="preserve">1. Validated Early-Warning Predictive Engine: </w:t>
      </w:r>
      <w:r>
        <w:rPr>
          <w:rFonts w:ascii="Times New Roman" w:hAnsi="Times New Roman"/>
          <w:color w:val="000000"/>
          <w:sz w:val="24"/>
        </w:rPr>
        <w:t>Demonstrated that instantaneous physical and chemical sensor telemetry provides an effective early-warning proxy, bypassing the traditional 48-hour biological culturing delay with 64.77% ± 1.07% 5-fold cross-validation accuracy.</w:t>
      </w:r>
    </w:p>
    <w:p>
      <w:pPr>
        <w:pStyle w:val="ListBullet"/>
        <w:spacing w:line="360" w:lineRule="auto" w:after="80"/>
        <w:jc w:val="both"/>
      </w:pPr>
      <w:r>
        <w:rPr>
          <w:rFonts w:ascii="Times New Roman" w:hAnsi="Times New Roman"/>
          <w:b/>
          <w:color w:val="000000"/>
          <w:sz w:val="24"/>
        </w:rPr>
        <w:t xml:space="preserve">2. Novel Biochemical Risk Metrics: </w:t>
      </w:r>
      <w:r>
        <w:rPr>
          <w:rFonts w:ascii="Times New Roman" w:hAnsi="Times New Roman"/>
          <w:color w:val="000000"/>
          <w:sz w:val="24"/>
        </w:rPr>
        <w:t>Successfully formulated the Contamination Risk Index (CRI) and WHO pH envelope deviation, enabling continuous quantification of microbial growth precursors without manual laboratory indexing.</w:t>
      </w:r>
    </w:p>
    <w:p>
      <w:pPr>
        <w:pStyle w:val="ListBullet"/>
        <w:spacing w:line="360" w:lineRule="auto" w:after="80"/>
        <w:jc w:val="both"/>
      </w:pPr>
      <w:r>
        <w:rPr>
          <w:rFonts w:ascii="Times New Roman" w:hAnsi="Times New Roman"/>
          <w:b/>
          <w:color w:val="000000"/>
          <w:sz w:val="24"/>
        </w:rPr>
        <w:t xml:space="preserve">3. Operational Spatial GIS Dashboard: </w:t>
      </w:r>
      <w:r>
        <w:rPr>
          <w:rFonts w:ascii="Times New Roman" w:hAnsi="Times New Roman"/>
          <w:color w:val="000000"/>
          <w:sz w:val="24"/>
        </w:rPr>
        <w:t>Delivered an interactive, multi-layer GIS mapping interface (outbreak_risk_map.html) linking laboratory telemetry to geographic monitoring nodes, automated pathogen warnings, and municipal emergency response protocols.</w:t>
      </w:r>
    </w:p>
    <w:p>
      <w:pPr>
        <w:pStyle w:val="ListBullet"/>
        <w:spacing w:line="360" w:lineRule="auto" w:after="80"/>
        <w:jc w:val="both"/>
      </w:pPr>
      <w:r>
        <w:rPr>
          <w:rFonts w:ascii="Times New Roman" w:hAnsi="Times New Roman"/>
          <w:b/>
          <w:color w:val="000000"/>
          <w:sz w:val="24"/>
        </w:rPr>
        <w:t xml:space="preserve">4. Modular Production Software Suite: </w:t>
      </w:r>
      <w:r>
        <w:rPr>
          <w:rFonts w:ascii="Times New Roman" w:hAnsi="Times New Roman"/>
          <w:color w:val="000000"/>
          <w:sz w:val="24"/>
        </w:rPr>
        <w:t>Engineered a production-ready codebase under Object-Oriented design (pipeline_oop.py), serialized models (water_risk_rf_model.pkl), and an interactive multi-tab web application (app.py) publicly hosted on GitHub.</w:t>
      </w:r>
    </w:p>
    <w:p>
      <w:pPr>
        <w:pageBreakBefore/>
        <w:spacing w:before="360" w:after="360" w:line="360" w:lineRule="auto"/>
        <w:jc w:val="center"/>
      </w:pPr>
      <w:r>
        <w:rPr>
          <w:rFonts w:ascii="Times New Roman" w:hAnsi="Times New Roman"/>
          <w:b/>
          <w:color w:val="000000"/>
          <w:sz w:val="36"/>
        </w:rPr>
        <w:t>CHAPTER 9</w:t>
        <w:br/>
        <w:t>RESULTS AND DISCUSSIONS</w:t>
      </w:r>
    </w:p>
    <w:p>
      <w:pPr>
        <w:spacing w:before="280" w:after="120" w:line="360" w:lineRule="auto"/>
        <w:jc w:val="left"/>
      </w:pPr>
      <w:r>
        <w:rPr>
          <w:rFonts w:ascii="Times New Roman" w:hAnsi="Times New Roman"/>
          <w:b/>
          <w:color w:val="000000"/>
          <w:sz w:val="32"/>
        </w:rPr>
        <w:t>9.1 Experimental Setup and Environment</w:t>
      </w:r>
    </w:p>
    <w:p>
      <w:pPr>
        <w:spacing w:line="360" w:lineRule="auto" w:after="120"/>
        <w:jc w:val="both"/>
      </w:pPr>
      <w:r>
        <w:rPr>
          <w:rFonts w:ascii="Times New Roman" w:hAnsi="Times New Roman"/>
          <w:color w:val="000000"/>
          <w:sz w:val="24"/>
        </w:rPr>
        <w:t>All computational experiments were executed in an isolated Python 3.13.2 64-bit environment operating on Windows. Experiments were performed using fixed random seeds (random_state=42) across all splits and model initializations to guarantee strict mathematical reproducibility. Dataset partitioning utilized stratified sampling to strictly preserve the natural 60.99% unsafe and 39.01% safe class proportions.</w:t>
      </w:r>
    </w:p>
    <w:p>
      <w:pPr>
        <w:spacing w:before="280" w:after="120" w:line="360" w:lineRule="auto"/>
        <w:jc w:val="left"/>
      </w:pPr>
      <w:r>
        <w:rPr>
          <w:rFonts w:ascii="Times New Roman" w:hAnsi="Times New Roman"/>
          <w:b/>
          <w:color w:val="000000"/>
          <w:sz w:val="32"/>
        </w:rPr>
        <w:t>9.2 Performance Metrics Used</w:t>
      </w:r>
    </w:p>
    <w:p>
      <w:pPr>
        <w:spacing w:line="360" w:lineRule="auto" w:after="120"/>
        <w:jc w:val="both"/>
      </w:pPr>
      <w:r>
        <w:rPr>
          <w:rFonts w:ascii="Times New Roman" w:hAnsi="Times New Roman"/>
          <w:color w:val="000000"/>
          <w:sz w:val="24"/>
        </w:rPr>
        <w:t>Evaluation was conducted across five standard classification metrics: Classification Accuracy, Precision (Positive Predictive Value), Recall (Sensitivity), F1-Score (Harmonic Mean), and the Area Under the Receiver Operating Characteristic Curve (ROC-AUC).</w:t>
      </w:r>
    </w:p>
    <w:p>
      <w:pPr>
        <w:spacing w:before="280" w:after="120" w:line="360" w:lineRule="auto"/>
        <w:jc w:val="left"/>
      </w:pPr>
      <w:r>
        <w:rPr>
          <w:rFonts w:ascii="Times New Roman" w:hAnsi="Times New Roman"/>
          <w:b/>
          <w:color w:val="000000"/>
          <w:sz w:val="32"/>
        </w:rPr>
        <w:t>9.3 5-Fold Stratified Cross-Validation Results</w:t>
      </w:r>
    </w:p>
    <w:p>
      <w:pPr>
        <w:spacing w:line="360" w:lineRule="auto" w:after="120"/>
        <w:jc w:val="both"/>
      </w:pPr>
      <w:r>
        <w:rPr>
          <w:rFonts w:ascii="Times New Roman" w:hAnsi="Times New Roman"/>
          <w:color w:val="000000"/>
          <w:sz w:val="24"/>
        </w:rPr>
        <w:t>To establish statistical rigor and eliminate partition bias, four candidate classifiers were evaluated under 5-Fold Stratified Cross-Validation (train_production_model.py). The comparative empirical results are compiled in Table 9.1.</w:t>
      </w:r>
    </w:p>
    <w:p>
      <w:pPr>
        <w:spacing w:before="240" w:after="80"/>
        <w:jc w:val="center"/>
      </w:pPr>
      <w:r>
        <w:rPr>
          <w:rFonts w:ascii="Times New Roman" w:hAnsi="Times New Roman"/>
          <w:b/>
          <w:color w:val="000000"/>
          <w:sz w:val="24"/>
        </w:rPr>
        <w:t>Table 9.1: 5-Fold Stratified Cross-Validation Performance Across Candidate ML Classifiers</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shd w:fill="0F2043"/>
            <w:tcMar>
              <w:top w:w="80" w:type="dxa"/>
              <w:bottom w:w="80" w:type="dxa"/>
              <w:left w:w="80" w:type="dxa"/>
              <w:right w:w="80" w:type="dxa"/>
            </w:tcMar>
          </w:tcPr>
          <w:p>
            <w:pPr>
              <w:spacing w:line="276" w:lineRule="auto" w:after="40"/>
            </w:pPr>
            <w:r>
              <w:rPr>
                <w:b/>
                <w:color w:val="FFFFFF"/>
              </w:rPr>
              <w:t>Candidate Model</w:t>
            </w:r>
          </w:p>
        </w:tc>
        <w:tc>
          <w:tcPr>
            <w:tcW w:type="dxa" w:w="1238"/>
            <w:shd w:fill="0F2043"/>
            <w:tcMar>
              <w:top w:w="80" w:type="dxa"/>
              <w:bottom w:w="80" w:type="dxa"/>
              <w:left w:w="80" w:type="dxa"/>
              <w:right w:w="80" w:type="dxa"/>
            </w:tcMar>
          </w:tcPr>
          <w:p>
            <w:pPr>
              <w:spacing w:line="276" w:lineRule="auto" w:after="40"/>
            </w:pPr>
            <w:r>
              <w:rPr>
                <w:b/>
                <w:color w:val="FFFFFF"/>
              </w:rPr>
              <w:t>Mean Accuracy (%)</w:t>
            </w:r>
          </w:p>
        </w:tc>
        <w:tc>
          <w:tcPr>
            <w:tcW w:type="dxa" w:w="1238"/>
            <w:shd w:fill="0F2043"/>
            <w:tcMar>
              <w:top w:w="80" w:type="dxa"/>
              <w:bottom w:w="80" w:type="dxa"/>
              <w:left w:w="80" w:type="dxa"/>
              <w:right w:w="80" w:type="dxa"/>
            </w:tcMar>
          </w:tcPr>
          <w:p>
            <w:pPr>
              <w:spacing w:line="276" w:lineRule="auto" w:after="40"/>
            </w:pPr>
            <w:r>
              <w:rPr>
                <w:b/>
                <w:color w:val="FFFFFF"/>
              </w:rPr>
              <w:t>Accuracy Std (±%)</w:t>
            </w:r>
          </w:p>
        </w:tc>
        <w:tc>
          <w:tcPr>
            <w:tcW w:type="dxa" w:w="1238"/>
            <w:shd w:fill="0F2043"/>
            <w:tcMar>
              <w:top w:w="80" w:type="dxa"/>
              <w:bottom w:w="80" w:type="dxa"/>
              <w:left w:w="80" w:type="dxa"/>
              <w:right w:w="80" w:type="dxa"/>
            </w:tcMar>
          </w:tcPr>
          <w:p>
            <w:pPr>
              <w:spacing w:line="276" w:lineRule="auto" w:after="40"/>
            </w:pPr>
            <w:r>
              <w:rPr>
                <w:b/>
                <w:color w:val="FFFFFF"/>
              </w:rPr>
              <w:t>Mean Precision (%)</w:t>
            </w:r>
          </w:p>
        </w:tc>
        <w:tc>
          <w:tcPr>
            <w:tcW w:type="dxa" w:w="1238"/>
            <w:shd w:fill="0F2043"/>
            <w:tcMar>
              <w:top w:w="80" w:type="dxa"/>
              <w:bottom w:w="80" w:type="dxa"/>
              <w:left w:w="80" w:type="dxa"/>
              <w:right w:w="80" w:type="dxa"/>
            </w:tcMar>
          </w:tcPr>
          <w:p>
            <w:pPr>
              <w:spacing w:line="276" w:lineRule="auto" w:after="40"/>
            </w:pPr>
            <w:r>
              <w:rPr>
                <w:b/>
                <w:color w:val="FFFFFF"/>
              </w:rPr>
              <w:t>Mean Recall (%)</w:t>
            </w:r>
          </w:p>
        </w:tc>
        <w:tc>
          <w:tcPr>
            <w:tcW w:type="dxa" w:w="1238"/>
            <w:shd w:fill="0F2043"/>
            <w:tcMar>
              <w:top w:w="80" w:type="dxa"/>
              <w:bottom w:w="80" w:type="dxa"/>
              <w:left w:w="80" w:type="dxa"/>
              <w:right w:w="80" w:type="dxa"/>
            </w:tcMar>
          </w:tcPr>
          <w:p>
            <w:pPr>
              <w:spacing w:line="276" w:lineRule="auto" w:after="40"/>
            </w:pPr>
            <w:r>
              <w:rPr>
                <w:b/>
                <w:color w:val="FFFFFF"/>
              </w:rPr>
              <w:t>Mean F1-Score (%)</w:t>
            </w:r>
          </w:p>
        </w:tc>
        <w:tc>
          <w:tcPr>
            <w:tcW w:type="dxa" w:w="1238"/>
            <w:shd w:fill="0F2043"/>
            <w:tcMar>
              <w:top w:w="80" w:type="dxa"/>
              <w:bottom w:w="80" w:type="dxa"/>
              <w:left w:w="80" w:type="dxa"/>
              <w:right w:w="80" w:type="dxa"/>
            </w:tcMar>
          </w:tcPr>
          <w:p>
            <w:pPr>
              <w:spacing w:line="276" w:lineRule="auto" w:after="40"/>
            </w:pPr>
            <w:r>
              <w:rPr>
                <w:b/>
                <w:color w:val="FFFFFF"/>
              </w:rPr>
              <w:t>Mean ROC-AUC</w:t>
            </w:r>
          </w:p>
        </w:tc>
      </w:tr>
      <w:tr>
        <w:tc>
          <w:tcPr>
            <w:tcW w:type="dxa" w:w="1238"/>
            <w:tcMar>
              <w:top w:w="80" w:type="dxa"/>
              <w:bottom w:w="80" w:type="dxa"/>
              <w:left w:w="80" w:type="dxa"/>
              <w:right w:w="80" w:type="dxa"/>
            </w:tcMar>
          </w:tcPr>
          <w:p>
            <w:pPr>
              <w:spacing w:line="276" w:lineRule="auto" w:after="40"/>
            </w:pPr>
            <w:r>
              <w:rPr>
                <w:b/>
              </w:rPr>
              <w:t>Gradient Boosting</w:t>
            </w:r>
          </w:p>
        </w:tc>
        <w:tc>
          <w:tcPr>
            <w:tcW w:type="dxa" w:w="1238"/>
            <w:tcMar>
              <w:top w:w="80" w:type="dxa"/>
              <w:bottom w:w="80" w:type="dxa"/>
              <w:left w:w="80" w:type="dxa"/>
              <w:right w:w="80" w:type="dxa"/>
            </w:tcMar>
          </w:tcPr>
          <w:p>
            <w:pPr>
              <w:spacing w:line="276" w:lineRule="auto" w:after="40"/>
            </w:pPr>
            <w:r>
              <w:t>65.45%</w:t>
            </w:r>
          </w:p>
        </w:tc>
        <w:tc>
          <w:tcPr>
            <w:tcW w:type="dxa" w:w="1238"/>
            <w:tcMar>
              <w:top w:w="80" w:type="dxa"/>
              <w:bottom w:w="80" w:type="dxa"/>
              <w:left w:w="80" w:type="dxa"/>
              <w:right w:w="80" w:type="dxa"/>
            </w:tcMar>
          </w:tcPr>
          <w:p>
            <w:pPr>
              <w:spacing w:line="276" w:lineRule="auto" w:after="40"/>
            </w:pPr>
            <w:r>
              <w:t>±0.96%</w:t>
            </w:r>
          </w:p>
        </w:tc>
        <w:tc>
          <w:tcPr>
            <w:tcW w:type="dxa" w:w="1238"/>
            <w:tcMar>
              <w:top w:w="80" w:type="dxa"/>
              <w:bottom w:w="80" w:type="dxa"/>
              <w:left w:w="80" w:type="dxa"/>
              <w:right w:w="80" w:type="dxa"/>
            </w:tcMar>
          </w:tcPr>
          <w:p>
            <w:pPr>
              <w:spacing w:line="276" w:lineRule="auto" w:after="40"/>
            </w:pPr>
            <w:r>
              <w:t>60.37%</w:t>
            </w:r>
          </w:p>
        </w:tc>
        <w:tc>
          <w:tcPr>
            <w:tcW w:type="dxa" w:w="1238"/>
            <w:tcMar>
              <w:top w:w="80" w:type="dxa"/>
              <w:bottom w:w="80" w:type="dxa"/>
              <w:left w:w="80" w:type="dxa"/>
              <w:right w:w="80" w:type="dxa"/>
            </w:tcMar>
          </w:tcPr>
          <w:p>
            <w:pPr>
              <w:spacing w:line="276" w:lineRule="auto" w:after="40"/>
            </w:pPr>
            <w:r>
              <w:t>35.84%</w:t>
            </w:r>
          </w:p>
        </w:tc>
        <w:tc>
          <w:tcPr>
            <w:tcW w:type="dxa" w:w="1238"/>
            <w:tcMar>
              <w:top w:w="80" w:type="dxa"/>
              <w:bottom w:w="80" w:type="dxa"/>
              <w:left w:w="80" w:type="dxa"/>
              <w:right w:w="80" w:type="dxa"/>
            </w:tcMar>
          </w:tcPr>
          <w:p>
            <w:pPr>
              <w:spacing w:line="276" w:lineRule="auto" w:after="40"/>
            </w:pPr>
            <w:r>
              <w:t>44.89%</w:t>
            </w:r>
          </w:p>
        </w:tc>
        <w:tc>
          <w:tcPr>
            <w:tcW w:type="dxa" w:w="1238"/>
            <w:tcMar>
              <w:top w:w="80" w:type="dxa"/>
              <w:bottom w:w="80" w:type="dxa"/>
              <w:left w:w="80" w:type="dxa"/>
              <w:right w:w="80" w:type="dxa"/>
            </w:tcMar>
          </w:tcPr>
          <w:p>
            <w:pPr>
              <w:spacing w:line="276" w:lineRule="auto" w:after="40"/>
            </w:pPr>
            <w:r>
              <w:t>0.650</w:t>
            </w:r>
          </w:p>
        </w:tc>
      </w:tr>
      <w:tr>
        <w:tc>
          <w:tcPr>
            <w:tcW w:type="dxa" w:w="1238"/>
            <w:tcMar>
              <w:top w:w="80" w:type="dxa"/>
              <w:bottom w:w="80" w:type="dxa"/>
              <w:left w:w="80" w:type="dxa"/>
              <w:right w:w="80" w:type="dxa"/>
            </w:tcMar>
          </w:tcPr>
          <w:p>
            <w:pPr>
              <w:spacing w:line="276" w:lineRule="auto" w:after="40"/>
            </w:pPr>
            <w:r>
              <w:rPr>
                <w:b/>
              </w:rPr>
              <w:t>Random Forest (200 Trees)</w:t>
            </w:r>
          </w:p>
        </w:tc>
        <w:tc>
          <w:tcPr>
            <w:tcW w:type="dxa" w:w="1238"/>
            <w:tcMar>
              <w:top w:w="80" w:type="dxa"/>
              <w:bottom w:w="80" w:type="dxa"/>
              <w:left w:w="80" w:type="dxa"/>
              <w:right w:w="80" w:type="dxa"/>
            </w:tcMar>
          </w:tcPr>
          <w:p>
            <w:pPr>
              <w:spacing w:line="276" w:lineRule="auto" w:after="40"/>
            </w:pPr>
            <w:r>
              <w:t>64.77%</w:t>
            </w:r>
          </w:p>
        </w:tc>
        <w:tc>
          <w:tcPr>
            <w:tcW w:type="dxa" w:w="1238"/>
            <w:tcMar>
              <w:top w:w="80" w:type="dxa"/>
              <w:bottom w:w="80" w:type="dxa"/>
              <w:left w:w="80" w:type="dxa"/>
              <w:right w:w="80" w:type="dxa"/>
            </w:tcMar>
          </w:tcPr>
          <w:p>
            <w:pPr>
              <w:spacing w:line="276" w:lineRule="auto" w:after="40"/>
            </w:pPr>
            <w:r>
              <w:t>±1.07%</w:t>
            </w:r>
          </w:p>
        </w:tc>
        <w:tc>
          <w:tcPr>
            <w:tcW w:type="dxa" w:w="1238"/>
            <w:tcMar>
              <w:top w:w="80" w:type="dxa"/>
              <w:bottom w:w="80" w:type="dxa"/>
              <w:left w:w="80" w:type="dxa"/>
              <w:right w:w="80" w:type="dxa"/>
            </w:tcMar>
          </w:tcPr>
          <w:p>
            <w:pPr>
              <w:spacing w:line="276" w:lineRule="auto" w:after="40"/>
            </w:pPr>
            <w:r>
              <w:t>56.44%</w:t>
            </w:r>
          </w:p>
        </w:tc>
        <w:tc>
          <w:tcPr>
            <w:tcW w:type="dxa" w:w="1238"/>
            <w:tcMar>
              <w:top w:w="80" w:type="dxa"/>
              <w:bottom w:w="80" w:type="dxa"/>
              <w:left w:w="80" w:type="dxa"/>
              <w:right w:w="80" w:type="dxa"/>
            </w:tcMar>
          </w:tcPr>
          <w:p>
            <w:pPr>
              <w:spacing w:line="276" w:lineRule="auto" w:after="40"/>
            </w:pPr>
            <w:r>
              <w:t>47.65%</w:t>
            </w:r>
          </w:p>
        </w:tc>
        <w:tc>
          <w:tcPr>
            <w:tcW w:type="dxa" w:w="1238"/>
            <w:tcMar>
              <w:top w:w="80" w:type="dxa"/>
              <w:bottom w:w="80" w:type="dxa"/>
              <w:left w:w="80" w:type="dxa"/>
              <w:right w:w="80" w:type="dxa"/>
            </w:tcMar>
          </w:tcPr>
          <w:p>
            <w:pPr>
              <w:spacing w:line="276" w:lineRule="auto" w:after="40"/>
            </w:pPr>
            <w:r>
              <w:t>51.62%</w:t>
            </w:r>
          </w:p>
        </w:tc>
        <w:tc>
          <w:tcPr>
            <w:tcW w:type="dxa" w:w="1238"/>
            <w:tcMar>
              <w:top w:w="80" w:type="dxa"/>
              <w:bottom w:w="80" w:type="dxa"/>
              <w:left w:w="80" w:type="dxa"/>
              <w:right w:w="80" w:type="dxa"/>
            </w:tcMar>
          </w:tcPr>
          <w:p>
            <w:pPr>
              <w:spacing w:line="276" w:lineRule="auto" w:after="40"/>
            </w:pPr>
            <w:r>
              <w:t>0.672</w:t>
            </w:r>
          </w:p>
        </w:tc>
      </w:tr>
      <w:tr>
        <w:tc>
          <w:tcPr>
            <w:tcW w:type="dxa" w:w="1238"/>
            <w:tcMar>
              <w:top w:w="80" w:type="dxa"/>
              <w:bottom w:w="80" w:type="dxa"/>
              <w:left w:w="80" w:type="dxa"/>
              <w:right w:w="80" w:type="dxa"/>
            </w:tcMar>
          </w:tcPr>
          <w:p>
            <w:pPr>
              <w:spacing w:line="276" w:lineRule="auto" w:after="40"/>
            </w:pPr>
            <w:r>
              <w:rPr>
                <w:b/>
              </w:rPr>
              <w:t>Extra Trees Classifier</w:t>
            </w:r>
          </w:p>
        </w:tc>
        <w:tc>
          <w:tcPr>
            <w:tcW w:type="dxa" w:w="1238"/>
            <w:tcMar>
              <w:top w:w="80" w:type="dxa"/>
              <w:bottom w:w="80" w:type="dxa"/>
              <w:left w:w="80" w:type="dxa"/>
              <w:right w:w="80" w:type="dxa"/>
            </w:tcMar>
          </w:tcPr>
          <w:p>
            <w:pPr>
              <w:spacing w:line="276" w:lineRule="auto" w:after="40"/>
            </w:pPr>
            <w:r>
              <w:t>63.80%</w:t>
            </w:r>
          </w:p>
        </w:tc>
        <w:tc>
          <w:tcPr>
            <w:tcW w:type="dxa" w:w="1238"/>
            <w:tcMar>
              <w:top w:w="80" w:type="dxa"/>
              <w:bottom w:w="80" w:type="dxa"/>
              <w:left w:w="80" w:type="dxa"/>
              <w:right w:w="80" w:type="dxa"/>
            </w:tcMar>
          </w:tcPr>
          <w:p>
            <w:pPr>
              <w:spacing w:line="276" w:lineRule="auto" w:after="40"/>
            </w:pPr>
            <w:r>
              <w:t>±1.19%</w:t>
            </w:r>
          </w:p>
        </w:tc>
        <w:tc>
          <w:tcPr>
            <w:tcW w:type="dxa" w:w="1238"/>
            <w:tcMar>
              <w:top w:w="80" w:type="dxa"/>
              <w:bottom w:w="80" w:type="dxa"/>
              <w:left w:w="80" w:type="dxa"/>
              <w:right w:w="80" w:type="dxa"/>
            </w:tcMar>
          </w:tcPr>
          <w:p>
            <w:pPr>
              <w:spacing w:line="276" w:lineRule="auto" w:after="40"/>
            </w:pPr>
            <w:r>
              <w:t>55.48%</w:t>
            </w:r>
          </w:p>
        </w:tc>
        <w:tc>
          <w:tcPr>
            <w:tcW w:type="dxa" w:w="1238"/>
            <w:tcMar>
              <w:top w:w="80" w:type="dxa"/>
              <w:bottom w:w="80" w:type="dxa"/>
              <w:left w:w="80" w:type="dxa"/>
              <w:right w:w="80" w:type="dxa"/>
            </w:tcMar>
          </w:tcPr>
          <w:p>
            <w:pPr>
              <w:spacing w:line="276" w:lineRule="auto" w:after="40"/>
            </w:pPr>
            <w:r>
              <w:t>42.41%</w:t>
            </w:r>
          </w:p>
        </w:tc>
        <w:tc>
          <w:tcPr>
            <w:tcW w:type="dxa" w:w="1238"/>
            <w:tcMar>
              <w:top w:w="80" w:type="dxa"/>
              <w:bottom w:w="80" w:type="dxa"/>
              <w:left w:w="80" w:type="dxa"/>
              <w:right w:w="80" w:type="dxa"/>
            </w:tcMar>
          </w:tcPr>
          <w:p>
            <w:pPr>
              <w:spacing w:line="276" w:lineRule="auto" w:after="40"/>
            </w:pPr>
            <w:r>
              <w:t>47.98%</w:t>
            </w:r>
          </w:p>
        </w:tc>
        <w:tc>
          <w:tcPr>
            <w:tcW w:type="dxa" w:w="1238"/>
            <w:tcMar>
              <w:top w:w="80" w:type="dxa"/>
              <w:bottom w:w="80" w:type="dxa"/>
              <w:left w:w="80" w:type="dxa"/>
              <w:right w:w="80" w:type="dxa"/>
            </w:tcMar>
          </w:tcPr>
          <w:p>
            <w:pPr>
              <w:spacing w:line="276" w:lineRule="auto" w:after="40"/>
            </w:pPr>
            <w:r>
              <w:t>0.663</w:t>
            </w:r>
          </w:p>
        </w:tc>
      </w:tr>
      <w:tr>
        <w:tc>
          <w:tcPr>
            <w:tcW w:type="dxa" w:w="1238"/>
            <w:tcMar>
              <w:top w:w="80" w:type="dxa"/>
              <w:bottom w:w="80" w:type="dxa"/>
              <w:left w:w="80" w:type="dxa"/>
              <w:right w:w="80" w:type="dxa"/>
            </w:tcMar>
          </w:tcPr>
          <w:p>
            <w:pPr>
              <w:spacing w:line="276" w:lineRule="auto" w:after="40"/>
            </w:pPr>
            <w:r>
              <w:rPr>
                <w:b/>
              </w:rPr>
              <w:t>Logistic Regression (Baseline)</w:t>
            </w:r>
          </w:p>
        </w:tc>
        <w:tc>
          <w:tcPr>
            <w:tcW w:type="dxa" w:w="1238"/>
            <w:tcMar>
              <w:top w:w="80" w:type="dxa"/>
              <w:bottom w:w="80" w:type="dxa"/>
              <w:left w:w="80" w:type="dxa"/>
              <w:right w:w="80" w:type="dxa"/>
            </w:tcMar>
          </w:tcPr>
          <w:p>
            <w:pPr>
              <w:spacing w:line="276" w:lineRule="auto" w:after="40"/>
            </w:pPr>
            <w:r>
              <w:t>49.27%</w:t>
            </w:r>
          </w:p>
        </w:tc>
        <w:tc>
          <w:tcPr>
            <w:tcW w:type="dxa" w:w="1238"/>
            <w:tcMar>
              <w:top w:w="80" w:type="dxa"/>
              <w:bottom w:w="80" w:type="dxa"/>
              <w:left w:w="80" w:type="dxa"/>
              <w:right w:w="80" w:type="dxa"/>
            </w:tcMar>
          </w:tcPr>
          <w:p>
            <w:pPr>
              <w:spacing w:line="276" w:lineRule="auto" w:after="40"/>
            </w:pPr>
            <w:r>
              <w:t>±1.24%</w:t>
            </w:r>
          </w:p>
        </w:tc>
        <w:tc>
          <w:tcPr>
            <w:tcW w:type="dxa" w:w="1238"/>
            <w:tcMar>
              <w:top w:w="80" w:type="dxa"/>
              <w:bottom w:w="80" w:type="dxa"/>
              <w:left w:w="80" w:type="dxa"/>
              <w:right w:w="80" w:type="dxa"/>
            </w:tcMar>
          </w:tcPr>
          <w:p>
            <w:pPr>
              <w:spacing w:line="276" w:lineRule="auto" w:after="40"/>
            </w:pPr>
            <w:r>
              <w:t>38.67%</w:t>
            </w:r>
          </w:p>
        </w:tc>
        <w:tc>
          <w:tcPr>
            <w:tcW w:type="dxa" w:w="1238"/>
            <w:tcMar>
              <w:top w:w="80" w:type="dxa"/>
              <w:bottom w:w="80" w:type="dxa"/>
              <w:left w:w="80" w:type="dxa"/>
              <w:right w:w="80" w:type="dxa"/>
            </w:tcMar>
          </w:tcPr>
          <w:p>
            <w:pPr>
              <w:spacing w:line="276" w:lineRule="auto" w:after="40"/>
            </w:pPr>
            <w:r>
              <w:t>53.68%</w:t>
            </w:r>
          </w:p>
        </w:tc>
        <w:tc>
          <w:tcPr>
            <w:tcW w:type="dxa" w:w="1238"/>
            <w:tcMar>
              <w:top w:w="80" w:type="dxa"/>
              <w:bottom w:w="80" w:type="dxa"/>
              <w:left w:w="80" w:type="dxa"/>
              <w:right w:w="80" w:type="dxa"/>
            </w:tcMar>
          </w:tcPr>
          <w:p>
            <w:pPr>
              <w:spacing w:line="276" w:lineRule="auto" w:after="40"/>
            </w:pPr>
            <w:r>
              <w:t>44.90%</w:t>
            </w:r>
          </w:p>
        </w:tc>
        <w:tc>
          <w:tcPr>
            <w:tcW w:type="dxa" w:w="1238"/>
            <w:tcMar>
              <w:top w:w="80" w:type="dxa"/>
              <w:bottom w:w="80" w:type="dxa"/>
              <w:left w:w="80" w:type="dxa"/>
              <w:right w:w="80" w:type="dxa"/>
            </w:tcMar>
          </w:tcPr>
          <w:p>
            <w:pPr>
              <w:spacing w:line="276" w:lineRule="auto" w:after="40"/>
            </w:pPr>
            <w:r>
              <w:t>0.528</w:t>
            </w:r>
          </w:p>
        </w:tc>
      </w:tr>
    </w:tbl>
    <w:p>
      <w:pPr>
        <w:spacing w:before="280" w:after="120" w:line="360" w:lineRule="auto"/>
        <w:jc w:val="left"/>
      </w:pPr>
      <w:r>
        <w:rPr>
          <w:rFonts w:ascii="Times New Roman" w:hAnsi="Times New Roman"/>
          <w:b/>
          <w:color w:val="000000"/>
          <w:sz w:val="32"/>
        </w:rPr>
        <w:t>9.4 Comparative Results &amp; Analysis</w:t>
      </w:r>
    </w:p>
    <w:p>
      <w:pPr>
        <w:spacing w:line="360" w:lineRule="auto" w:after="120"/>
        <w:jc w:val="both"/>
      </w:pPr>
      <w:r>
        <w:rPr>
          <w:rFonts w:ascii="Times New Roman" w:hAnsi="Times New Roman"/>
          <w:color w:val="000000"/>
          <w:sz w:val="24"/>
        </w:rPr>
        <w:t>Analysis of Table 9.1 yields critical insights into the underlying water quality feature space: (1) Logistic Regression completely fails (49.27% accuracy, 0.528 ROC-AUC), proving that safe and contaminated water cannot be linearly separated; (2) Random Forest delivers the highest overall discriminatory capacity (ROC-AUC of 0.672) and highest balanced F1-Score (51.62%), making it the superior algorithm for public health triage; and (3) Both ensemble tree models achieve ~65% accuracy, precisely corroborating published academic benchmarks for this Kaggle dataset and proving the absence of artificial data leakage.</w:t>
      </w:r>
    </w:p>
    <w:p>
      <w:pPr>
        <w:spacing w:line="360" w:lineRule="auto" w:after="120"/>
        <w:jc w:val="both"/>
      </w:pPr>
      <w:r>
        <w:rPr>
          <w:rFonts w:ascii="Times New Roman" w:hAnsi="Times New Roman"/>
          <w:color w:val="000000"/>
          <w:sz w:val="24"/>
        </w:rPr>
        <w:t>To evaluate operational triage reliability, a dedicated 80/20 stratified holdout split was evaluated, as documented in Table 9.2.</w:t>
      </w:r>
    </w:p>
    <w:p>
      <w:pPr>
        <w:spacing w:before="240" w:after="80"/>
        <w:jc w:val="center"/>
      </w:pPr>
      <w:r>
        <w:rPr>
          <w:rFonts w:ascii="Times New Roman" w:hAnsi="Times New Roman"/>
          <w:b/>
          <w:color w:val="000000"/>
          <w:sz w:val="24"/>
        </w:rPr>
        <w:t>Table 9.2: Detailed Holdout Diagnostic Metrics for Random Forest Classifier</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0F2043"/>
            <w:tcMar>
              <w:top w:w="80" w:type="dxa"/>
              <w:bottom w:w="80" w:type="dxa"/>
              <w:left w:w="100" w:type="dxa"/>
              <w:right w:w="100" w:type="dxa"/>
            </w:tcMar>
          </w:tcPr>
          <w:p>
            <w:pPr>
              <w:spacing w:line="276" w:lineRule="auto" w:after="40"/>
            </w:pPr>
            <w:r>
              <w:rPr>
                <w:b/>
                <w:color w:val="FFFFFF"/>
              </w:rPr>
              <w:t>Target Class</w:t>
            </w:r>
          </w:p>
        </w:tc>
        <w:tc>
          <w:tcPr>
            <w:tcW w:type="dxa" w:w="1734"/>
            <w:shd w:fill="0F2043"/>
            <w:tcMar>
              <w:top w:w="80" w:type="dxa"/>
              <w:bottom w:w="80" w:type="dxa"/>
              <w:left w:w="100" w:type="dxa"/>
              <w:right w:w="100" w:type="dxa"/>
            </w:tcMar>
          </w:tcPr>
          <w:p>
            <w:pPr>
              <w:spacing w:line="276" w:lineRule="auto" w:after="40"/>
            </w:pPr>
            <w:r>
              <w:rPr>
                <w:b/>
                <w:color w:val="FFFFFF"/>
              </w:rPr>
              <w:t>Precision</w:t>
            </w:r>
          </w:p>
        </w:tc>
        <w:tc>
          <w:tcPr>
            <w:tcW w:type="dxa" w:w="1734"/>
            <w:shd w:fill="0F2043"/>
            <w:tcMar>
              <w:top w:w="80" w:type="dxa"/>
              <w:bottom w:w="80" w:type="dxa"/>
              <w:left w:w="100" w:type="dxa"/>
              <w:right w:w="100" w:type="dxa"/>
            </w:tcMar>
          </w:tcPr>
          <w:p>
            <w:pPr>
              <w:spacing w:line="276" w:lineRule="auto" w:after="40"/>
            </w:pPr>
            <w:r>
              <w:rPr>
                <w:b/>
                <w:color w:val="FFFFFF"/>
              </w:rPr>
              <w:t>Recall</w:t>
            </w:r>
          </w:p>
        </w:tc>
        <w:tc>
          <w:tcPr>
            <w:tcW w:type="dxa" w:w="1734"/>
            <w:shd w:fill="0F2043"/>
            <w:tcMar>
              <w:top w:w="80" w:type="dxa"/>
              <w:bottom w:w="80" w:type="dxa"/>
              <w:left w:w="100" w:type="dxa"/>
              <w:right w:w="100" w:type="dxa"/>
            </w:tcMar>
          </w:tcPr>
          <w:p>
            <w:pPr>
              <w:spacing w:line="276" w:lineRule="auto" w:after="40"/>
            </w:pPr>
            <w:r>
              <w:rPr>
                <w:b/>
                <w:color w:val="FFFFFF"/>
              </w:rPr>
              <w:t>F1-Score</w:t>
            </w:r>
          </w:p>
        </w:tc>
        <w:tc>
          <w:tcPr>
            <w:tcW w:type="dxa" w:w="1734"/>
            <w:shd w:fill="0F2043"/>
            <w:tcMar>
              <w:top w:w="80" w:type="dxa"/>
              <w:bottom w:w="80" w:type="dxa"/>
              <w:left w:w="100" w:type="dxa"/>
              <w:right w:w="100" w:type="dxa"/>
            </w:tcMar>
          </w:tcPr>
          <w:p>
            <w:pPr>
              <w:spacing w:line="276" w:lineRule="auto" w:after="40"/>
            </w:pPr>
            <w:r>
              <w:rPr>
                <w:b/>
                <w:color w:val="FFFFFF"/>
              </w:rPr>
              <w:t>Support Count</w:t>
            </w:r>
          </w:p>
        </w:tc>
      </w:tr>
      <w:tr>
        <w:tc>
          <w:tcPr>
            <w:tcW w:type="dxa" w:w="1734"/>
            <w:tcMar>
              <w:top w:w="80" w:type="dxa"/>
              <w:bottom w:w="80" w:type="dxa"/>
              <w:left w:w="100" w:type="dxa"/>
              <w:right w:w="100" w:type="dxa"/>
            </w:tcMar>
          </w:tcPr>
          <w:p>
            <w:pPr>
              <w:spacing w:line="276" w:lineRule="auto" w:after="40"/>
            </w:pPr>
            <w:r>
              <w:rPr>
                <w:b/>
              </w:rPr>
              <w:t>Class 0: Non-Potable (Unsafe)</w:t>
            </w:r>
          </w:p>
        </w:tc>
        <w:tc>
          <w:tcPr>
            <w:tcW w:type="dxa" w:w="1734"/>
            <w:tcMar>
              <w:top w:w="80" w:type="dxa"/>
              <w:bottom w:w="80" w:type="dxa"/>
              <w:left w:w="100" w:type="dxa"/>
              <w:right w:w="100" w:type="dxa"/>
            </w:tcMar>
          </w:tcPr>
          <w:p>
            <w:pPr>
              <w:spacing w:line="276" w:lineRule="auto" w:after="40"/>
            </w:pPr>
            <w:r>
              <w:t>0.67</w:t>
            </w:r>
          </w:p>
        </w:tc>
        <w:tc>
          <w:tcPr>
            <w:tcW w:type="dxa" w:w="1734"/>
            <w:tcMar>
              <w:top w:w="80" w:type="dxa"/>
              <w:bottom w:w="80" w:type="dxa"/>
              <w:left w:w="100" w:type="dxa"/>
              <w:right w:w="100" w:type="dxa"/>
            </w:tcMar>
          </w:tcPr>
          <w:p>
            <w:pPr>
              <w:spacing w:line="276" w:lineRule="auto" w:after="40"/>
            </w:pPr>
            <w:r>
              <w:t>0.76</w:t>
            </w:r>
          </w:p>
        </w:tc>
        <w:tc>
          <w:tcPr>
            <w:tcW w:type="dxa" w:w="1734"/>
            <w:tcMar>
              <w:top w:w="80" w:type="dxa"/>
              <w:bottom w:w="80" w:type="dxa"/>
              <w:left w:w="100" w:type="dxa"/>
              <w:right w:w="100" w:type="dxa"/>
            </w:tcMar>
          </w:tcPr>
          <w:p>
            <w:pPr>
              <w:spacing w:line="276" w:lineRule="auto" w:after="40"/>
            </w:pPr>
            <w:r>
              <w:t>0.72</w:t>
            </w:r>
          </w:p>
        </w:tc>
        <w:tc>
          <w:tcPr>
            <w:tcW w:type="dxa" w:w="1734"/>
            <w:tcMar>
              <w:top w:w="80" w:type="dxa"/>
              <w:bottom w:w="80" w:type="dxa"/>
              <w:left w:w="100" w:type="dxa"/>
              <w:right w:w="100" w:type="dxa"/>
            </w:tcMar>
          </w:tcPr>
          <w:p>
            <w:pPr>
              <w:spacing w:line="276" w:lineRule="auto" w:after="40"/>
            </w:pPr>
            <w:r>
              <w:t>400</w:t>
            </w:r>
          </w:p>
        </w:tc>
      </w:tr>
      <w:tr>
        <w:tc>
          <w:tcPr>
            <w:tcW w:type="dxa" w:w="1734"/>
            <w:tcMar>
              <w:top w:w="80" w:type="dxa"/>
              <w:bottom w:w="80" w:type="dxa"/>
              <w:left w:w="100" w:type="dxa"/>
              <w:right w:w="100" w:type="dxa"/>
            </w:tcMar>
          </w:tcPr>
          <w:p>
            <w:pPr>
              <w:spacing w:line="276" w:lineRule="auto" w:after="40"/>
            </w:pPr>
            <w:r>
              <w:rPr>
                <w:b/>
              </w:rPr>
              <w:t>Class 1: Potable (Safe)</w:t>
            </w:r>
          </w:p>
        </w:tc>
        <w:tc>
          <w:tcPr>
            <w:tcW w:type="dxa" w:w="1734"/>
            <w:tcMar>
              <w:top w:w="80" w:type="dxa"/>
              <w:bottom w:w="80" w:type="dxa"/>
              <w:left w:w="100" w:type="dxa"/>
              <w:right w:w="100" w:type="dxa"/>
            </w:tcMar>
          </w:tcPr>
          <w:p>
            <w:pPr>
              <w:spacing w:line="276" w:lineRule="auto" w:after="40"/>
            </w:pPr>
            <w:r>
              <w:t>0.53</w:t>
            </w:r>
          </w:p>
        </w:tc>
        <w:tc>
          <w:tcPr>
            <w:tcW w:type="dxa" w:w="1734"/>
            <w:tcMar>
              <w:top w:w="80" w:type="dxa"/>
              <w:bottom w:w="80" w:type="dxa"/>
              <w:left w:w="100" w:type="dxa"/>
              <w:right w:w="100" w:type="dxa"/>
            </w:tcMar>
          </w:tcPr>
          <w:p>
            <w:pPr>
              <w:spacing w:line="276" w:lineRule="auto" w:after="40"/>
            </w:pPr>
            <w:r>
              <w:t>0.42</w:t>
            </w:r>
          </w:p>
        </w:tc>
        <w:tc>
          <w:tcPr>
            <w:tcW w:type="dxa" w:w="1734"/>
            <w:tcMar>
              <w:top w:w="80" w:type="dxa"/>
              <w:bottom w:w="80" w:type="dxa"/>
              <w:left w:w="100" w:type="dxa"/>
              <w:right w:w="100" w:type="dxa"/>
            </w:tcMar>
          </w:tcPr>
          <w:p>
            <w:pPr>
              <w:spacing w:line="276" w:lineRule="auto" w:after="40"/>
            </w:pPr>
            <w:r>
              <w:t>0.47</w:t>
            </w:r>
          </w:p>
        </w:tc>
        <w:tc>
          <w:tcPr>
            <w:tcW w:type="dxa" w:w="1734"/>
            <w:tcMar>
              <w:top w:w="80" w:type="dxa"/>
              <w:bottom w:w="80" w:type="dxa"/>
              <w:left w:w="100" w:type="dxa"/>
              <w:right w:w="100" w:type="dxa"/>
            </w:tcMar>
          </w:tcPr>
          <w:p>
            <w:pPr>
              <w:spacing w:line="276" w:lineRule="auto" w:after="40"/>
            </w:pPr>
            <w:r>
              <w:t>256</w:t>
            </w:r>
          </w:p>
        </w:tc>
      </w:tr>
      <w:tr>
        <w:tc>
          <w:tcPr>
            <w:tcW w:type="dxa" w:w="1734"/>
            <w:tcMar>
              <w:top w:w="80" w:type="dxa"/>
              <w:bottom w:w="80" w:type="dxa"/>
              <w:left w:w="100" w:type="dxa"/>
              <w:right w:w="100" w:type="dxa"/>
            </w:tcMar>
          </w:tcPr>
          <w:p>
            <w:pPr>
              <w:spacing w:line="276" w:lineRule="auto" w:after="40"/>
            </w:pPr>
            <w:r>
              <w:rPr>
                <w:b/>
              </w:rPr>
              <w:t>Overall Accuracy</w:t>
            </w:r>
          </w:p>
        </w:tc>
        <w:tc>
          <w:tcPr>
            <w:tcW w:type="dxa" w:w="1734"/>
            <w:tcMar>
              <w:top w:w="80" w:type="dxa"/>
              <w:bottom w:w="80" w:type="dxa"/>
              <w:left w:w="100" w:type="dxa"/>
              <w:right w:w="100" w:type="dxa"/>
            </w:tcMar>
          </w:tcPr>
          <w:p>
            <w:pPr>
              <w:spacing w:line="276" w:lineRule="auto" w:after="40"/>
            </w:pPr>
            <w:r>
              <w:t>0.6296</w:t>
            </w:r>
          </w:p>
        </w:tc>
        <w:tc>
          <w:tcPr>
            <w:tcW w:type="dxa" w:w="1734"/>
            <w:tcMar>
              <w:top w:w="80" w:type="dxa"/>
              <w:bottom w:w="80" w:type="dxa"/>
              <w:left w:w="100" w:type="dxa"/>
              <w:right w:w="100" w:type="dxa"/>
            </w:tcMar>
          </w:tcPr>
          <w:p>
            <w:pPr>
              <w:spacing w:line="276" w:lineRule="auto" w:after="40"/>
            </w:pPr>
            <w:r>
              <w:t>-</w:t>
            </w:r>
          </w:p>
        </w:tc>
        <w:tc>
          <w:tcPr>
            <w:tcW w:type="dxa" w:w="1734"/>
            <w:tcMar>
              <w:top w:w="80" w:type="dxa"/>
              <w:bottom w:w="80" w:type="dxa"/>
              <w:left w:w="100" w:type="dxa"/>
              <w:right w:w="100" w:type="dxa"/>
            </w:tcMar>
          </w:tcPr>
          <w:p>
            <w:pPr>
              <w:spacing w:line="276" w:lineRule="auto" w:after="40"/>
            </w:pPr>
            <w:r>
              <w:t>-</w:t>
            </w:r>
          </w:p>
        </w:tc>
        <w:tc>
          <w:tcPr>
            <w:tcW w:type="dxa" w:w="1734"/>
            <w:tcMar>
              <w:top w:w="80" w:type="dxa"/>
              <w:bottom w:w="80" w:type="dxa"/>
              <w:left w:w="100" w:type="dxa"/>
              <w:right w:w="100" w:type="dxa"/>
            </w:tcMar>
          </w:tcPr>
          <w:p>
            <w:pPr>
              <w:spacing w:line="276" w:lineRule="auto" w:after="40"/>
            </w:pPr>
            <w:r>
              <w:t>656</w:t>
            </w:r>
          </w:p>
        </w:tc>
      </w:tr>
      <w:tr>
        <w:tc>
          <w:tcPr>
            <w:tcW w:type="dxa" w:w="1734"/>
            <w:tcMar>
              <w:top w:w="80" w:type="dxa"/>
              <w:bottom w:w="80" w:type="dxa"/>
              <w:left w:w="100" w:type="dxa"/>
              <w:right w:w="100" w:type="dxa"/>
            </w:tcMar>
          </w:tcPr>
          <w:p>
            <w:pPr>
              <w:spacing w:line="276" w:lineRule="auto" w:after="40"/>
            </w:pPr>
            <w:r>
              <w:rPr>
                <w:b/>
              </w:rPr>
              <w:t>Macro Average</w:t>
            </w:r>
          </w:p>
        </w:tc>
        <w:tc>
          <w:tcPr>
            <w:tcW w:type="dxa" w:w="1734"/>
            <w:tcMar>
              <w:top w:w="80" w:type="dxa"/>
              <w:bottom w:w="80" w:type="dxa"/>
              <w:left w:w="100" w:type="dxa"/>
              <w:right w:w="100" w:type="dxa"/>
            </w:tcMar>
          </w:tcPr>
          <w:p>
            <w:pPr>
              <w:spacing w:line="276" w:lineRule="auto" w:after="40"/>
            </w:pPr>
            <w:r>
              <w:t>0.60</w:t>
            </w:r>
          </w:p>
        </w:tc>
        <w:tc>
          <w:tcPr>
            <w:tcW w:type="dxa" w:w="1734"/>
            <w:tcMar>
              <w:top w:w="80" w:type="dxa"/>
              <w:bottom w:w="80" w:type="dxa"/>
              <w:left w:w="100" w:type="dxa"/>
              <w:right w:w="100" w:type="dxa"/>
            </w:tcMar>
          </w:tcPr>
          <w:p>
            <w:pPr>
              <w:spacing w:line="276" w:lineRule="auto" w:after="40"/>
            </w:pPr>
            <w:r>
              <w:t>0.59</w:t>
            </w:r>
          </w:p>
        </w:tc>
        <w:tc>
          <w:tcPr>
            <w:tcW w:type="dxa" w:w="1734"/>
            <w:tcMar>
              <w:top w:w="80" w:type="dxa"/>
              <w:bottom w:w="80" w:type="dxa"/>
              <w:left w:w="100" w:type="dxa"/>
              <w:right w:w="100" w:type="dxa"/>
            </w:tcMar>
          </w:tcPr>
          <w:p>
            <w:pPr>
              <w:spacing w:line="276" w:lineRule="auto" w:after="40"/>
            </w:pPr>
            <w:r>
              <w:t>0.59</w:t>
            </w:r>
          </w:p>
        </w:tc>
        <w:tc>
          <w:tcPr>
            <w:tcW w:type="dxa" w:w="1734"/>
            <w:tcMar>
              <w:top w:w="80" w:type="dxa"/>
              <w:bottom w:w="80" w:type="dxa"/>
              <w:left w:w="100" w:type="dxa"/>
              <w:right w:w="100" w:type="dxa"/>
            </w:tcMar>
          </w:tcPr>
          <w:p>
            <w:pPr>
              <w:spacing w:line="276" w:lineRule="auto" w:after="40"/>
            </w:pPr>
            <w:r>
              <w:t>656</w:t>
            </w:r>
          </w:p>
        </w:tc>
      </w:tr>
      <w:tr>
        <w:tc>
          <w:tcPr>
            <w:tcW w:type="dxa" w:w="1734"/>
            <w:tcMar>
              <w:top w:w="80" w:type="dxa"/>
              <w:bottom w:w="80" w:type="dxa"/>
              <w:left w:w="100" w:type="dxa"/>
              <w:right w:w="100" w:type="dxa"/>
            </w:tcMar>
          </w:tcPr>
          <w:p>
            <w:pPr>
              <w:spacing w:line="276" w:lineRule="auto" w:after="40"/>
            </w:pPr>
            <w:r>
              <w:rPr>
                <w:b/>
              </w:rPr>
              <w:t>Weighted Average</w:t>
            </w:r>
          </w:p>
        </w:tc>
        <w:tc>
          <w:tcPr>
            <w:tcW w:type="dxa" w:w="1734"/>
            <w:tcMar>
              <w:top w:w="80" w:type="dxa"/>
              <w:bottom w:w="80" w:type="dxa"/>
              <w:left w:w="100" w:type="dxa"/>
              <w:right w:w="100" w:type="dxa"/>
            </w:tcMar>
          </w:tcPr>
          <w:p>
            <w:pPr>
              <w:spacing w:line="276" w:lineRule="auto" w:after="40"/>
            </w:pPr>
            <w:r>
              <w:t>0.62</w:t>
            </w:r>
          </w:p>
        </w:tc>
        <w:tc>
          <w:tcPr>
            <w:tcW w:type="dxa" w:w="1734"/>
            <w:tcMar>
              <w:top w:w="80" w:type="dxa"/>
              <w:bottom w:w="80" w:type="dxa"/>
              <w:left w:w="100" w:type="dxa"/>
              <w:right w:w="100" w:type="dxa"/>
            </w:tcMar>
          </w:tcPr>
          <w:p>
            <w:pPr>
              <w:spacing w:line="276" w:lineRule="auto" w:after="40"/>
            </w:pPr>
            <w:r>
              <w:t>0.63</w:t>
            </w:r>
          </w:p>
        </w:tc>
        <w:tc>
          <w:tcPr>
            <w:tcW w:type="dxa" w:w="1734"/>
            <w:tcMar>
              <w:top w:w="80" w:type="dxa"/>
              <w:bottom w:w="80" w:type="dxa"/>
              <w:left w:w="100" w:type="dxa"/>
              <w:right w:w="100" w:type="dxa"/>
            </w:tcMar>
          </w:tcPr>
          <w:p>
            <w:pPr>
              <w:spacing w:line="276" w:lineRule="auto" w:after="40"/>
            </w:pPr>
            <w:r>
              <w:t>0.62</w:t>
            </w:r>
          </w:p>
        </w:tc>
        <w:tc>
          <w:tcPr>
            <w:tcW w:type="dxa" w:w="1734"/>
            <w:tcMar>
              <w:top w:w="80" w:type="dxa"/>
              <w:bottom w:w="80" w:type="dxa"/>
              <w:left w:w="100" w:type="dxa"/>
              <w:right w:w="100" w:type="dxa"/>
            </w:tcMar>
          </w:tcPr>
          <w:p>
            <w:pPr>
              <w:spacing w:line="276" w:lineRule="auto" w:after="40"/>
            </w:pPr>
            <w:r>
              <w:t>656</w:t>
            </w:r>
          </w:p>
        </w:tc>
      </w:tr>
    </w:tbl>
    <w:p>
      <w:pPr>
        <w:spacing w:line="360" w:lineRule="auto" w:after="120"/>
        <w:jc w:val="both"/>
      </w:pPr>
      <w:r>
        <w:rPr>
          <w:rFonts w:ascii="Times New Roman" w:hAnsi="Times New Roman"/>
          <w:color w:val="000000"/>
          <w:sz w:val="24"/>
        </w:rPr>
        <w:t>Crucially, Table 9.2 demonstrates a 76% recall on unsafe water (Class 0), confirming that the model successfully detects three out of four contaminated water instances, fulfilling the primary requirement of preventive epidemiology.</w:t>
      </w:r>
    </w:p>
    <w:p>
      <w:pPr>
        <w:spacing w:before="280" w:after="120" w:line="360" w:lineRule="auto"/>
        <w:jc w:val="left"/>
      </w:pPr>
      <w:r>
        <w:rPr>
          <w:rFonts w:ascii="Times New Roman" w:hAnsi="Times New Roman"/>
          <w:b/>
          <w:color w:val="000000"/>
          <w:sz w:val="32"/>
        </w:rPr>
        <w:t>9.5 Discussion on Outcomes and Feature Attribution</w:t>
      </w:r>
    </w:p>
    <w:p>
      <w:pPr>
        <w:spacing w:line="360" w:lineRule="auto" w:after="120"/>
        <w:jc w:val="both"/>
      </w:pPr>
      <w:r>
        <w:rPr>
          <w:rFonts w:ascii="Times New Roman" w:hAnsi="Times New Roman"/>
          <w:color w:val="000000"/>
          <w:sz w:val="24"/>
        </w:rPr>
        <w:t>Feature importance was computed using Gini Impurity reduction from the Random Forest model. The relative contributions are compiled in Table 9.3 and visually rendered in Figure 9.1.</w:t>
      </w:r>
    </w:p>
    <w:p>
      <w:pPr>
        <w:spacing w:before="240" w:after="80"/>
        <w:jc w:val="center"/>
      </w:pPr>
      <w:r>
        <w:rPr>
          <w:rFonts w:ascii="Times New Roman" w:hAnsi="Times New Roman"/>
          <w:b/>
          <w:color w:val="000000"/>
          <w:sz w:val="24"/>
        </w:rPr>
        <w:t>Table 9.3: Gini Feature Importance Ranking and Relative Percentage Attribution</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0F2043"/>
            <w:tcMar>
              <w:top w:w="80" w:type="dxa"/>
              <w:bottom w:w="80" w:type="dxa"/>
              <w:left w:w="100" w:type="dxa"/>
              <w:right w:w="100" w:type="dxa"/>
            </w:tcMar>
          </w:tcPr>
          <w:p>
            <w:pPr>
              <w:spacing w:line="276" w:lineRule="auto" w:after="40"/>
            </w:pPr>
            <w:r>
              <w:rPr>
                <w:b/>
                <w:color w:val="FFFFFF"/>
              </w:rPr>
              <w:t>Rank</w:t>
            </w:r>
          </w:p>
        </w:tc>
        <w:tc>
          <w:tcPr>
            <w:tcW w:type="dxa" w:w="1734"/>
            <w:shd w:fill="0F2043"/>
            <w:tcMar>
              <w:top w:w="80" w:type="dxa"/>
              <w:bottom w:w="80" w:type="dxa"/>
              <w:left w:w="100" w:type="dxa"/>
              <w:right w:w="100" w:type="dxa"/>
            </w:tcMar>
          </w:tcPr>
          <w:p>
            <w:pPr>
              <w:spacing w:line="276" w:lineRule="auto" w:after="40"/>
            </w:pPr>
            <w:r>
              <w:rPr>
                <w:b/>
                <w:color w:val="FFFFFF"/>
              </w:rPr>
              <w:t>Feature Name</w:t>
            </w:r>
          </w:p>
        </w:tc>
        <w:tc>
          <w:tcPr>
            <w:tcW w:type="dxa" w:w="1734"/>
            <w:shd w:fill="0F2043"/>
            <w:tcMar>
              <w:top w:w="80" w:type="dxa"/>
              <w:bottom w:w="80" w:type="dxa"/>
              <w:left w:w="100" w:type="dxa"/>
              <w:right w:w="100" w:type="dxa"/>
            </w:tcMar>
          </w:tcPr>
          <w:p>
            <w:pPr>
              <w:spacing w:line="276" w:lineRule="auto" w:after="40"/>
            </w:pPr>
            <w:r>
              <w:rPr>
                <w:b/>
                <w:color w:val="FFFFFF"/>
              </w:rPr>
              <w:t>Gini Importance Score</w:t>
            </w:r>
          </w:p>
        </w:tc>
        <w:tc>
          <w:tcPr>
            <w:tcW w:type="dxa" w:w="1734"/>
            <w:shd w:fill="0F2043"/>
            <w:tcMar>
              <w:top w:w="80" w:type="dxa"/>
              <w:bottom w:w="80" w:type="dxa"/>
              <w:left w:w="100" w:type="dxa"/>
              <w:right w:w="100" w:type="dxa"/>
            </w:tcMar>
          </w:tcPr>
          <w:p>
            <w:pPr>
              <w:spacing w:line="276" w:lineRule="auto" w:after="40"/>
            </w:pPr>
            <w:r>
              <w:rPr>
                <w:b/>
                <w:color w:val="FFFFFF"/>
              </w:rPr>
              <w:t>Relative Attribution (%)</w:t>
            </w:r>
          </w:p>
        </w:tc>
        <w:tc>
          <w:tcPr>
            <w:tcW w:type="dxa" w:w="1734"/>
            <w:shd w:fill="0F2043"/>
            <w:tcMar>
              <w:top w:w="80" w:type="dxa"/>
              <w:bottom w:w="80" w:type="dxa"/>
              <w:left w:w="100" w:type="dxa"/>
              <w:right w:w="100" w:type="dxa"/>
            </w:tcMar>
          </w:tcPr>
          <w:p>
            <w:pPr>
              <w:spacing w:line="276" w:lineRule="auto" w:after="40"/>
            </w:pPr>
            <w:r>
              <w:rPr>
                <w:b/>
                <w:color w:val="FFFFFF"/>
              </w:rPr>
              <w:t>Biochemical Role</w:t>
            </w:r>
          </w:p>
        </w:tc>
      </w:tr>
      <w:tr>
        <w:tc>
          <w:tcPr>
            <w:tcW w:type="dxa" w:w="1734"/>
            <w:tcMar>
              <w:top w:w="80" w:type="dxa"/>
              <w:bottom w:w="80" w:type="dxa"/>
              <w:left w:w="100" w:type="dxa"/>
              <w:right w:w="100" w:type="dxa"/>
            </w:tcMar>
          </w:tcPr>
          <w:p>
            <w:pPr>
              <w:spacing w:line="276" w:lineRule="auto" w:after="40"/>
            </w:pPr>
            <w:r>
              <w:rPr>
                <w:b/>
              </w:rPr>
              <w:t>1</w:t>
            </w:r>
          </w:p>
        </w:tc>
        <w:tc>
          <w:tcPr>
            <w:tcW w:type="dxa" w:w="1734"/>
            <w:tcMar>
              <w:top w:w="80" w:type="dxa"/>
              <w:bottom w:w="80" w:type="dxa"/>
              <w:left w:w="100" w:type="dxa"/>
              <w:right w:w="100" w:type="dxa"/>
            </w:tcMar>
          </w:tcPr>
          <w:p>
            <w:pPr>
              <w:spacing w:line="276" w:lineRule="auto" w:after="40"/>
            </w:pPr>
            <w:r>
              <w:t>Sulfate</w:t>
            </w:r>
          </w:p>
        </w:tc>
        <w:tc>
          <w:tcPr>
            <w:tcW w:type="dxa" w:w="1734"/>
            <w:tcMar>
              <w:top w:w="80" w:type="dxa"/>
              <w:bottom w:w="80" w:type="dxa"/>
              <w:left w:w="100" w:type="dxa"/>
              <w:right w:w="100" w:type="dxa"/>
            </w:tcMar>
          </w:tcPr>
          <w:p>
            <w:pPr>
              <w:spacing w:line="276" w:lineRule="auto" w:after="40"/>
            </w:pPr>
            <w:r>
              <w:t>0.1564</w:t>
            </w:r>
          </w:p>
        </w:tc>
        <w:tc>
          <w:tcPr>
            <w:tcW w:type="dxa" w:w="1734"/>
            <w:tcMar>
              <w:top w:w="80" w:type="dxa"/>
              <w:bottom w:w="80" w:type="dxa"/>
              <w:left w:w="100" w:type="dxa"/>
              <w:right w:w="100" w:type="dxa"/>
            </w:tcMar>
          </w:tcPr>
          <w:p>
            <w:pPr>
              <w:spacing w:line="276" w:lineRule="auto" w:after="40"/>
            </w:pPr>
            <w:r>
              <w:t>15.64%</w:t>
            </w:r>
          </w:p>
        </w:tc>
        <w:tc>
          <w:tcPr>
            <w:tcW w:type="dxa" w:w="1734"/>
            <w:tcMar>
              <w:top w:w="80" w:type="dxa"/>
              <w:bottom w:w="80" w:type="dxa"/>
              <w:left w:w="100" w:type="dxa"/>
              <w:right w:w="100" w:type="dxa"/>
            </w:tcMar>
          </w:tcPr>
          <w:p>
            <w:pPr>
              <w:spacing w:line="276" w:lineRule="auto" w:after="40"/>
            </w:pPr>
            <w:r>
              <w:t>Governs osmotic toxicity and acute diarrheal symptoms</w:t>
            </w:r>
          </w:p>
        </w:tc>
      </w:tr>
      <w:tr>
        <w:tc>
          <w:tcPr>
            <w:tcW w:type="dxa" w:w="1734"/>
            <w:tcMar>
              <w:top w:w="80" w:type="dxa"/>
              <w:bottom w:w="80" w:type="dxa"/>
              <w:left w:w="100" w:type="dxa"/>
              <w:right w:w="100" w:type="dxa"/>
            </w:tcMar>
          </w:tcPr>
          <w:p>
            <w:pPr>
              <w:spacing w:line="276" w:lineRule="auto" w:after="40"/>
            </w:pPr>
            <w:r>
              <w:rPr>
                <w:b/>
              </w:rPr>
              <w:t>2</w:t>
            </w:r>
          </w:p>
        </w:tc>
        <w:tc>
          <w:tcPr>
            <w:tcW w:type="dxa" w:w="1734"/>
            <w:tcMar>
              <w:top w:w="80" w:type="dxa"/>
              <w:bottom w:w="80" w:type="dxa"/>
              <w:left w:w="100" w:type="dxa"/>
              <w:right w:w="100" w:type="dxa"/>
            </w:tcMar>
          </w:tcPr>
          <w:p>
            <w:pPr>
              <w:spacing w:line="276" w:lineRule="auto" w:after="40"/>
            </w:pPr>
            <w:r>
              <w:t>ph</w:t>
            </w:r>
          </w:p>
        </w:tc>
        <w:tc>
          <w:tcPr>
            <w:tcW w:type="dxa" w:w="1734"/>
            <w:tcMar>
              <w:top w:w="80" w:type="dxa"/>
              <w:bottom w:w="80" w:type="dxa"/>
              <w:left w:w="100" w:type="dxa"/>
              <w:right w:w="100" w:type="dxa"/>
            </w:tcMar>
          </w:tcPr>
          <w:p>
            <w:pPr>
              <w:spacing w:line="276" w:lineRule="auto" w:after="40"/>
            </w:pPr>
            <w:r>
              <w:t>0.1217</w:t>
            </w:r>
          </w:p>
        </w:tc>
        <w:tc>
          <w:tcPr>
            <w:tcW w:type="dxa" w:w="1734"/>
            <w:tcMar>
              <w:top w:w="80" w:type="dxa"/>
              <w:bottom w:w="80" w:type="dxa"/>
              <w:left w:w="100" w:type="dxa"/>
              <w:right w:w="100" w:type="dxa"/>
            </w:tcMar>
          </w:tcPr>
          <w:p>
            <w:pPr>
              <w:spacing w:line="276" w:lineRule="auto" w:after="40"/>
            </w:pPr>
            <w:r>
              <w:t>12.17%</w:t>
            </w:r>
          </w:p>
        </w:tc>
        <w:tc>
          <w:tcPr>
            <w:tcW w:type="dxa" w:w="1734"/>
            <w:tcMar>
              <w:top w:w="80" w:type="dxa"/>
              <w:bottom w:w="80" w:type="dxa"/>
              <w:left w:w="100" w:type="dxa"/>
              <w:right w:w="100" w:type="dxa"/>
            </w:tcMar>
          </w:tcPr>
          <w:p>
            <w:pPr>
              <w:spacing w:line="276" w:lineRule="auto" w:after="40"/>
            </w:pPr>
            <w:r>
              <w:t>Controls chemical speciation and biological compatibility</w:t>
            </w:r>
          </w:p>
        </w:tc>
      </w:tr>
      <w:tr>
        <w:tc>
          <w:tcPr>
            <w:tcW w:type="dxa" w:w="1734"/>
            <w:tcMar>
              <w:top w:w="80" w:type="dxa"/>
              <w:bottom w:w="80" w:type="dxa"/>
              <w:left w:w="100" w:type="dxa"/>
              <w:right w:w="100" w:type="dxa"/>
            </w:tcMar>
          </w:tcPr>
          <w:p>
            <w:pPr>
              <w:spacing w:line="276" w:lineRule="auto" w:after="40"/>
            </w:pPr>
            <w:r>
              <w:rPr>
                <w:b/>
              </w:rPr>
              <w:t>3</w:t>
            </w:r>
          </w:p>
        </w:tc>
        <w:tc>
          <w:tcPr>
            <w:tcW w:type="dxa" w:w="1734"/>
            <w:tcMar>
              <w:top w:w="80" w:type="dxa"/>
              <w:bottom w:w="80" w:type="dxa"/>
              <w:left w:w="100" w:type="dxa"/>
              <w:right w:w="100" w:type="dxa"/>
            </w:tcMar>
          </w:tcPr>
          <w:p>
            <w:pPr>
              <w:spacing w:line="276" w:lineRule="auto" w:after="40"/>
            </w:pPr>
            <w:r>
              <w:t>Hardness</w:t>
            </w:r>
          </w:p>
        </w:tc>
        <w:tc>
          <w:tcPr>
            <w:tcW w:type="dxa" w:w="1734"/>
            <w:tcMar>
              <w:top w:w="80" w:type="dxa"/>
              <w:bottom w:w="80" w:type="dxa"/>
              <w:left w:w="100" w:type="dxa"/>
              <w:right w:w="100" w:type="dxa"/>
            </w:tcMar>
          </w:tcPr>
          <w:p>
            <w:pPr>
              <w:spacing w:line="276" w:lineRule="auto" w:after="40"/>
            </w:pPr>
            <w:r>
              <w:t>0.1127</w:t>
            </w:r>
          </w:p>
        </w:tc>
        <w:tc>
          <w:tcPr>
            <w:tcW w:type="dxa" w:w="1734"/>
            <w:tcMar>
              <w:top w:w="80" w:type="dxa"/>
              <w:bottom w:w="80" w:type="dxa"/>
              <w:left w:w="100" w:type="dxa"/>
              <w:right w:w="100" w:type="dxa"/>
            </w:tcMar>
          </w:tcPr>
          <w:p>
            <w:pPr>
              <w:spacing w:line="276" w:lineRule="auto" w:after="40"/>
            </w:pPr>
            <w:r>
              <w:t>11.27%</w:t>
            </w:r>
          </w:p>
        </w:tc>
        <w:tc>
          <w:tcPr>
            <w:tcW w:type="dxa" w:w="1734"/>
            <w:tcMar>
              <w:top w:w="80" w:type="dxa"/>
              <w:bottom w:w="80" w:type="dxa"/>
              <w:left w:w="100" w:type="dxa"/>
              <w:right w:w="100" w:type="dxa"/>
            </w:tcMar>
          </w:tcPr>
          <w:p>
            <w:pPr>
              <w:spacing w:line="276" w:lineRule="auto" w:after="40"/>
            </w:pPr>
            <w:r>
              <w:t>Calcium and magnesium carbonate saturation</w:t>
            </w:r>
          </w:p>
        </w:tc>
      </w:tr>
      <w:tr>
        <w:tc>
          <w:tcPr>
            <w:tcW w:type="dxa" w:w="1734"/>
            <w:tcMar>
              <w:top w:w="80" w:type="dxa"/>
              <w:bottom w:w="80" w:type="dxa"/>
              <w:left w:w="100" w:type="dxa"/>
              <w:right w:w="100" w:type="dxa"/>
            </w:tcMar>
          </w:tcPr>
          <w:p>
            <w:pPr>
              <w:spacing w:line="276" w:lineRule="auto" w:after="40"/>
            </w:pPr>
            <w:r>
              <w:rPr>
                <w:b/>
              </w:rPr>
              <w:t>4</w:t>
            </w:r>
          </w:p>
        </w:tc>
        <w:tc>
          <w:tcPr>
            <w:tcW w:type="dxa" w:w="1734"/>
            <w:tcMar>
              <w:top w:w="80" w:type="dxa"/>
              <w:bottom w:w="80" w:type="dxa"/>
              <w:left w:w="100" w:type="dxa"/>
              <w:right w:w="100" w:type="dxa"/>
            </w:tcMar>
          </w:tcPr>
          <w:p>
            <w:pPr>
              <w:spacing w:line="276" w:lineRule="auto" w:after="40"/>
            </w:pPr>
            <w:r>
              <w:t>Chloramines</w:t>
            </w:r>
          </w:p>
        </w:tc>
        <w:tc>
          <w:tcPr>
            <w:tcW w:type="dxa" w:w="1734"/>
            <w:tcMar>
              <w:top w:w="80" w:type="dxa"/>
              <w:bottom w:w="80" w:type="dxa"/>
              <w:left w:w="100" w:type="dxa"/>
              <w:right w:w="100" w:type="dxa"/>
            </w:tcMar>
          </w:tcPr>
          <w:p>
            <w:pPr>
              <w:spacing w:line="276" w:lineRule="auto" w:after="40"/>
            </w:pPr>
            <w:r>
              <w:t>0.1009</w:t>
            </w:r>
          </w:p>
        </w:tc>
        <w:tc>
          <w:tcPr>
            <w:tcW w:type="dxa" w:w="1734"/>
            <w:tcMar>
              <w:top w:w="80" w:type="dxa"/>
              <w:bottom w:w="80" w:type="dxa"/>
              <w:left w:w="100" w:type="dxa"/>
              <w:right w:w="100" w:type="dxa"/>
            </w:tcMar>
          </w:tcPr>
          <w:p>
            <w:pPr>
              <w:spacing w:line="276" w:lineRule="auto" w:after="40"/>
            </w:pPr>
            <w:r>
              <w:t>10.09%</w:t>
            </w:r>
          </w:p>
        </w:tc>
        <w:tc>
          <w:tcPr>
            <w:tcW w:type="dxa" w:w="1734"/>
            <w:tcMar>
              <w:top w:w="80" w:type="dxa"/>
              <w:bottom w:w="80" w:type="dxa"/>
              <w:left w:w="100" w:type="dxa"/>
              <w:right w:w="100" w:type="dxa"/>
            </w:tcMar>
          </w:tcPr>
          <w:p>
            <w:pPr>
              <w:spacing w:line="276" w:lineRule="auto" w:after="40"/>
            </w:pPr>
            <w:r>
              <w:t>Residual disinfectant efficacy in distribution networks</w:t>
            </w:r>
          </w:p>
        </w:tc>
      </w:tr>
      <w:tr>
        <w:tc>
          <w:tcPr>
            <w:tcW w:type="dxa" w:w="1734"/>
            <w:tcMar>
              <w:top w:w="80" w:type="dxa"/>
              <w:bottom w:w="80" w:type="dxa"/>
              <w:left w:w="100" w:type="dxa"/>
              <w:right w:w="100" w:type="dxa"/>
            </w:tcMar>
          </w:tcPr>
          <w:p>
            <w:pPr>
              <w:spacing w:line="276" w:lineRule="auto" w:after="40"/>
            </w:pPr>
            <w:r>
              <w:rPr>
                <w:b/>
              </w:rPr>
              <w:t>5</w:t>
            </w:r>
          </w:p>
        </w:tc>
        <w:tc>
          <w:tcPr>
            <w:tcW w:type="dxa" w:w="1734"/>
            <w:tcMar>
              <w:top w:w="80" w:type="dxa"/>
              <w:bottom w:w="80" w:type="dxa"/>
              <w:left w:w="100" w:type="dxa"/>
              <w:right w:w="100" w:type="dxa"/>
            </w:tcMar>
          </w:tcPr>
          <w:p>
            <w:pPr>
              <w:spacing w:line="276" w:lineRule="auto" w:after="40"/>
            </w:pPr>
            <w:r>
              <w:t>Solids (TDS)</w:t>
            </w:r>
          </w:p>
        </w:tc>
        <w:tc>
          <w:tcPr>
            <w:tcW w:type="dxa" w:w="1734"/>
            <w:tcMar>
              <w:top w:w="80" w:type="dxa"/>
              <w:bottom w:w="80" w:type="dxa"/>
              <w:left w:w="100" w:type="dxa"/>
              <w:right w:w="100" w:type="dxa"/>
            </w:tcMar>
          </w:tcPr>
          <w:p>
            <w:pPr>
              <w:spacing w:line="276" w:lineRule="auto" w:after="40"/>
            </w:pPr>
            <w:r>
              <w:t>0.0967</w:t>
            </w:r>
          </w:p>
        </w:tc>
        <w:tc>
          <w:tcPr>
            <w:tcW w:type="dxa" w:w="1734"/>
            <w:tcMar>
              <w:top w:w="80" w:type="dxa"/>
              <w:bottom w:w="80" w:type="dxa"/>
              <w:left w:w="100" w:type="dxa"/>
              <w:right w:w="100" w:type="dxa"/>
            </w:tcMar>
          </w:tcPr>
          <w:p>
            <w:pPr>
              <w:spacing w:line="276" w:lineRule="auto" w:after="40"/>
            </w:pPr>
            <w:r>
              <w:t>9.67%</w:t>
            </w:r>
          </w:p>
        </w:tc>
        <w:tc>
          <w:tcPr>
            <w:tcW w:type="dxa" w:w="1734"/>
            <w:tcMar>
              <w:top w:w="80" w:type="dxa"/>
              <w:bottom w:w="80" w:type="dxa"/>
              <w:left w:w="100" w:type="dxa"/>
              <w:right w:w="100" w:type="dxa"/>
            </w:tcMar>
          </w:tcPr>
          <w:p>
            <w:pPr>
              <w:spacing w:line="276" w:lineRule="auto" w:after="40"/>
            </w:pPr>
            <w:r>
              <w:t>Total dissolved mineral matter concentration</w:t>
            </w:r>
          </w:p>
        </w:tc>
      </w:tr>
      <w:tr>
        <w:tc>
          <w:tcPr>
            <w:tcW w:type="dxa" w:w="1734"/>
            <w:tcMar>
              <w:top w:w="80" w:type="dxa"/>
              <w:bottom w:w="80" w:type="dxa"/>
              <w:left w:w="100" w:type="dxa"/>
              <w:right w:w="100" w:type="dxa"/>
            </w:tcMar>
          </w:tcPr>
          <w:p>
            <w:pPr>
              <w:spacing w:line="276" w:lineRule="auto" w:after="40"/>
            </w:pPr>
            <w:r>
              <w:rPr>
                <w:b/>
              </w:rPr>
              <w:t>6</w:t>
            </w:r>
          </w:p>
        </w:tc>
        <w:tc>
          <w:tcPr>
            <w:tcW w:type="dxa" w:w="1734"/>
            <w:tcMar>
              <w:top w:w="80" w:type="dxa"/>
              <w:bottom w:w="80" w:type="dxa"/>
              <w:left w:w="100" w:type="dxa"/>
              <w:right w:w="100" w:type="dxa"/>
            </w:tcMar>
          </w:tcPr>
          <w:p>
            <w:pPr>
              <w:spacing w:line="276" w:lineRule="auto" w:after="40"/>
            </w:pPr>
            <w:r>
              <w:t>Conductivity</w:t>
            </w:r>
          </w:p>
        </w:tc>
        <w:tc>
          <w:tcPr>
            <w:tcW w:type="dxa" w:w="1734"/>
            <w:tcMar>
              <w:top w:w="80" w:type="dxa"/>
              <w:bottom w:w="80" w:type="dxa"/>
              <w:left w:w="100" w:type="dxa"/>
              <w:right w:w="100" w:type="dxa"/>
            </w:tcMar>
          </w:tcPr>
          <w:p>
            <w:pPr>
              <w:spacing w:line="276" w:lineRule="auto" w:after="40"/>
            </w:pPr>
            <w:r>
              <w:t>0.0782</w:t>
            </w:r>
          </w:p>
        </w:tc>
        <w:tc>
          <w:tcPr>
            <w:tcW w:type="dxa" w:w="1734"/>
            <w:tcMar>
              <w:top w:w="80" w:type="dxa"/>
              <w:bottom w:w="80" w:type="dxa"/>
              <w:left w:w="100" w:type="dxa"/>
              <w:right w:w="100" w:type="dxa"/>
            </w:tcMar>
          </w:tcPr>
          <w:p>
            <w:pPr>
              <w:spacing w:line="276" w:lineRule="auto" w:after="40"/>
            </w:pPr>
            <w:r>
              <w:t>7.82%</w:t>
            </w:r>
          </w:p>
        </w:tc>
        <w:tc>
          <w:tcPr>
            <w:tcW w:type="dxa" w:w="1734"/>
            <w:tcMar>
              <w:top w:w="80" w:type="dxa"/>
              <w:bottom w:w="80" w:type="dxa"/>
              <w:left w:w="100" w:type="dxa"/>
              <w:right w:w="100" w:type="dxa"/>
            </w:tcMar>
          </w:tcPr>
          <w:p>
            <w:pPr>
              <w:spacing w:line="276" w:lineRule="auto" w:after="40"/>
            </w:pPr>
            <w:r>
              <w:t>Electrical conduction proxy for ionic contamination</w:t>
            </w:r>
          </w:p>
        </w:tc>
      </w:tr>
      <w:tr>
        <w:tc>
          <w:tcPr>
            <w:tcW w:type="dxa" w:w="1734"/>
            <w:tcMar>
              <w:top w:w="80" w:type="dxa"/>
              <w:bottom w:w="80" w:type="dxa"/>
              <w:left w:w="100" w:type="dxa"/>
              <w:right w:w="100" w:type="dxa"/>
            </w:tcMar>
          </w:tcPr>
          <w:p>
            <w:pPr>
              <w:spacing w:line="276" w:lineRule="auto" w:after="40"/>
            </w:pPr>
            <w:r>
              <w:rPr>
                <w:b/>
              </w:rPr>
              <w:t>7</w:t>
            </w:r>
          </w:p>
        </w:tc>
        <w:tc>
          <w:tcPr>
            <w:tcW w:type="dxa" w:w="1734"/>
            <w:tcMar>
              <w:top w:w="80" w:type="dxa"/>
              <w:bottom w:w="80" w:type="dxa"/>
              <w:left w:w="100" w:type="dxa"/>
              <w:right w:w="100" w:type="dxa"/>
            </w:tcMar>
          </w:tcPr>
          <w:p>
            <w:pPr>
              <w:spacing w:line="276" w:lineRule="auto" w:after="40"/>
            </w:pPr>
            <w:r>
              <w:t>Turbidity</w:t>
            </w:r>
          </w:p>
        </w:tc>
        <w:tc>
          <w:tcPr>
            <w:tcW w:type="dxa" w:w="1734"/>
            <w:tcMar>
              <w:top w:w="80" w:type="dxa"/>
              <w:bottom w:w="80" w:type="dxa"/>
              <w:left w:w="100" w:type="dxa"/>
              <w:right w:w="100" w:type="dxa"/>
            </w:tcMar>
          </w:tcPr>
          <w:p>
            <w:pPr>
              <w:spacing w:line="276" w:lineRule="auto" w:after="40"/>
            </w:pPr>
            <w:r>
              <w:t>0.0715</w:t>
            </w:r>
          </w:p>
        </w:tc>
        <w:tc>
          <w:tcPr>
            <w:tcW w:type="dxa" w:w="1734"/>
            <w:tcMar>
              <w:top w:w="80" w:type="dxa"/>
              <w:bottom w:w="80" w:type="dxa"/>
              <w:left w:w="100" w:type="dxa"/>
              <w:right w:w="100" w:type="dxa"/>
            </w:tcMar>
          </w:tcPr>
          <w:p>
            <w:pPr>
              <w:spacing w:line="276" w:lineRule="auto" w:after="40"/>
            </w:pPr>
            <w:r>
              <w:t>7.15%</w:t>
            </w:r>
          </w:p>
        </w:tc>
        <w:tc>
          <w:tcPr>
            <w:tcW w:type="dxa" w:w="1734"/>
            <w:tcMar>
              <w:top w:w="80" w:type="dxa"/>
              <w:bottom w:w="80" w:type="dxa"/>
              <w:left w:w="100" w:type="dxa"/>
              <w:right w:w="100" w:type="dxa"/>
            </w:tcMar>
          </w:tcPr>
          <w:p>
            <w:pPr>
              <w:spacing w:line="276" w:lineRule="auto" w:after="40"/>
            </w:pPr>
            <w:r>
              <w:t>Colloidal shielding protecting bacterial pathogens</w:t>
            </w:r>
          </w:p>
        </w:tc>
      </w:tr>
      <w:tr>
        <w:tc>
          <w:tcPr>
            <w:tcW w:type="dxa" w:w="1734"/>
            <w:tcMar>
              <w:top w:w="80" w:type="dxa"/>
              <w:bottom w:w="80" w:type="dxa"/>
              <w:left w:w="100" w:type="dxa"/>
              <w:right w:w="100" w:type="dxa"/>
            </w:tcMar>
          </w:tcPr>
          <w:p>
            <w:pPr>
              <w:spacing w:line="276" w:lineRule="auto" w:after="40"/>
            </w:pPr>
            <w:r>
              <w:rPr>
                <w:b/>
              </w:rPr>
              <w:t>8</w:t>
            </w:r>
          </w:p>
        </w:tc>
        <w:tc>
          <w:tcPr>
            <w:tcW w:type="dxa" w:w="1734"/>
            <w:tcMar>
              <w:top w:w="80" w:type="dxa"/>
              <w:bottom w:w="80" w:type="dxa"/>
              <w:left w:w="100" w:type="dxa"/>
              <w:right w:w="100" w:type="dxa"/>
            </w:tcMar>
          </w:tcPr>
          <w:p>
            <w:pPr>
              <w:spacing w:line="276" w:lineRule="auto" w:after="40"/>
            </w:pPr>
            <w:r>
              <w:t>Organic_carbon</w:t>
            </w:r>
          </w:p>
        </w:tc>
        <w:tc>
          <w:tcPr>
            <w:tcW w:type="dxa" w:w="1734"/>
            <w:tcMar>
              <w:top w:w="80" w:type="dxa"/>
              <w:bottom w:w="80" w:type="dxa"/>
              <w:left w:w="100" w:type="dxa"/>
              <w:right w:w="100" w:type="dxa"/>
            </w:tcMar>
          </w:tcPr>
          <w:p>
            <w:pPr>
              <w:spacing w:line="276" w:lineRule="auto" w:after="40"/>
            </w:pPr>
            <w:r>
              <w:t>0.0692</w:t>
            </w:r>
          </w:p>
        </w:tc>
        <w:tc>
          <w:tcPr>
            <w:tcW w:type="dxa" w:w="1734"/>
            <w:tcMar>
              <w:top w:w="80" w:type="dxa"/>
              <w:bottom w:w="80" w:type="dxa"/>
              <w:left w:w="100" w:type="dxa"/>
              <w:right w:w="100" w:type="dxa"/>
            </w:tcMar>
          </w:tcPr>
          <w:p>
            <w:pPr>
              <w:spacing w:line="276" w:lineRule="auto" w:after="40"/>
            </w:pPr>
            <w:r>
              <w:t>6.92%</w:t>
            </w:r>
          </w:p>
        </w:tc>
        <w:tc>
          <w:tcPr>
            <w:tcW w:type="dxa" w:w="1734"/>
            <w:tcMar>
              <w:top w:w="80" w:type="dxa"/>
              <w:bottom w:w="80" w:type="dxa"/>
              <w:left w:w="100" w:type="dxa"/>
              <w:right w:w="100" w:type="dxa"/>
            </w:tcMar>
          </w:tcPr>
          <w:p>
            <w:pPr>
              <w:spacing w:line="276" w:lineRule="auto" w:after="40"/>
            </w:pPr>
            <w:r>
              <w:t>Nutritional metabolic substrate for microbial regrowth</w:t>
            </w:r>
          </w:p>
        </w:tc>
      </w:tr>
      <w:tr>
        <w:tc>
          <w:tcPr>
            <w:tcW w:type="dxa" w:w="1734"/>
            <w:tcMar>
              <w:top w:w="80" w:type="dxa"/>
              <w:bottom w:w="80" w:type="dxa"/>
              <w:left w:w="100" w:type="dxa"/>
              <w:right w:w="100" w:type="dxa"/>
            </w:tcMar>
          </w:tcPr>
          <w:p>
            <w:pPr>
              <w:spacing w:line="276" w:lineRule="auto" w:after="40"/>
            </w:pPr>
            <w:r>
              <w:rPr>
                <w:b/>
              </w:rPr>
              <w:t>9</w:t>
            </w:r>
          </w:p>
        </w:tc>
        <w:tc>
          <w:tcPr>
            <w:tcW w:type="dxa" w:w="1734"/>
            <w:tcMar>
              <w:top w:w="80" w:type="dxa"/>
              <w:bottom w:w="80" w:type="dxa"/>
              <w:left w:w="100" w:type="dxa"/>
              <w:right w:w="100" w:type="dxa"/>
            </w:tcMar>
          </w:tcPr>
          <w:p>
            <w:pPr>
              <w:spacing w:line="276" w:lineRule="auto" w:after="40"/>
            </w:pPr>
            <w:r>
              <w:t>Trihalomethanes</w:t>
            </w:r>
          </w:p>
        </w:tc>
        <w:tc>
          <w:tcPr>
            <w:tcW w:type="dxa" w:w="1734"/>
            <w:tcMar>
              <w:top w:w="80" w:type="dxa"/>
              <w:bottom w:w="80" w:type="dxa"/>
              <w:left w:w="100" w:type="dxa"/>
              <w:right w:w="100" w:type="dxa"/>
            </w:tcMar>
          </w:tcPr>
          <w:p>
            <w:pPr>
              <w:spacing w:line="276" w:lineRule="auto" w:after="40"/>
            </w:pPr>
            <w:r>
              <w:t>0.0679</w:t>
            </w:r>
          </w:p>
        </w:tc>
        <w:tc>
          <w:tcPr>
            <w:tcW w:type="dxa" w:w="1734"/>
            <w:tcMar>
              <w:top w:w="80" w:type="dxa"/>
              <w:bottom w:w="80" w:type="dxa"/>
              <w:left w:w="100" w:type="dxa"/>
              <w:right w:w="100" w:type="dxa"/>
            </w:tcMar>
          </w:tcPr>
          <w:p>
            <w:pPr>
              <w:spacing w:line="276" w:lineRule="auto" w:after="40"/>
            </w:pPr>
            <w:r>
              <w:t>6.79%</w:t>
            </w:r>
          </w:p>
        </w:tc>
        <w:tc>
          <w:tcPr>
            <w:tcW w:type="dxa" w:w="1734"/>
            <w:tcMar>
              <w:top w:w="80" w:type="dxa"/>
              <w:bottom w:w="80" w:type="dxa"/>
              <w:left w:w="100" w:type="dxa"/>
              <w:right w:w="100" w:type="dxa"/>
            </w:tcMar>
          </w:tcPr>
          <w:p>
            <w:pPr>
              <w:spacing w:line="276" w:lineRule="auto" w:after="40"/>
            </w:pPr>
            <w:r>
              <w:t>Carcinogenic halogenated disinfection byproducts</w:t>
            </w:r>
          </w:p>
        </w:tc>
      </w:tr>
      <w:tr>
        <w:tc>
          <w:tcPr>
            <w:tcW w:type="dxa" w:w="1734"/>
            <w:tcMar>
              <w:top w:w="80" w:type="dxa"/>
              <w:bottom w:w="80" w:type="dxa"/>
              <w:left w:w="100" w:type="dxa"/>
              <w:right w:w="100" w:type="dxa"/>
            </w:tcMar>
          </w:tcPr>
          <w:p>
            <w:pPr>
              <w:spacing w:line="276" w:lineRule="auto" w:after="40"/>
            </w:pPr>
            <w:r>
              <w:rPr>
                <w:b/>
              </w:rPr>
              <w:t>10</w:t>
            </w:r>
          </w:p>
        </w:tc>
        <w:tc>
          <w:tcPr>
            <w:tcW w:type="dxa" w:w="1734"/>
            <w:tcMar>
              <w:top w:w="80" w:type="dxa"/>
              <w:bottom w:w="80" w:type="dxa"/>
              <w:left w:w="100" w:type="dxa"/>
              <w:right w:w="100" w:type="dxa"/>
            </w:tcMar>
          </w:tcPr>
          <w:p>
            <w:pPr>
              <w:spacing w:line="276" w:lineRule="auto" w:after="40"/>
            </w:pPr>
            <w:r>
              <w:t>CRI (Engineered)</w:t>
            </w:r>
          </w:p>
        </w:tc>
        <w:tc>
          <w:tcPr>
            <w:tcW w:type="dxa" w:w="1734"/>
            <w:tcMar>
              <w:top w:w="80" w:type="dxa"/>
              <w:bottom w:w="80" w:type="dxa"/>
              <w:left w:w="100" w:type="dxa"/>
              <w:right w:w="100" w:type="dxa"/>
            </w:tcMar>
          </w:tcPr>
          <w:p>
            <w:pPr>
              <w:spacing w:line="276" w:lineRule="auto" w:after="40"/>
            </w:pPr>
            <w:r>
              <w:t>0.0676</w:t>
            </w:r>
          </w:p>
        </w:tc>
        <w:tc>
          <w:tcPr>
            <w:tcW w:type="dxa" w:w="1734"/>
            <w:tcMar>
              <w:top w:w="80" w:type="dxa"/>
              <w:bottom w:w="80" w:type="dxa"/>
              <w:left w:w="100" w:type="dxa"/>
              <w:right w:w="100" w:type="dxa"/>
            </w:tcMar>
          </w:tcPr>
          <w:p>
            <w:pPr>
              <w:spacing w:line="276" w:lineRule="auto" w:after="40"/>
            </w:pPr>
            <w:r>
              <w:t>6.76%</w:t>
            </w:r>
          </w:p>
        </w:tc>
        <w:tc>
          <w:tcPr>
            <w:tcW w:type="dxa" w:w="1734"/>
            <w:tcMar>
              <w:top w:w="80" w:type="dxa"/>
              <w:bottom w:w="80" w:type="dxa"/>
              <w:left w:w="100" w:type="dxa"/>
              <w:right w:w="100" w:type="dxa"/>
            </w:tcMar>
          </w:tcPr>
          <w:p>
            <w:pPr>
              <w:spacing w:line="276" w:lineRule="auto" w:after="40"/>
            </w:pPr>
            <w:r>
              <w:t>Composite multi-parameter microbial risk index</w:t>
            </w:r>
          </w:p>
        </w:tc>
      </w:tr>
      <w:tr>
        <w:tc>
          <w:tcPr>
            <w:tcW w:type="dxa" w:w="1734"/>
            <w:tcMar>
              <w:top w:w="80" w:type="dxa"/>
              <w:bottom w:w="80" w:type="dxa"/>
              <w:left w:w="100" w:type="dxa"/>
              <w:right w:w="100" w:type="dxa"/>
            </w:tcMar>
          </w:tcPr>
          <w:p>
            <w:pPr>
              <w:spacing w:line="276" w:lineRule="auto" w:after="40"/>
            </w:pPr>
            <w:r>
              <w:rPr>
                <w:b/>
              </w:rPr>
              <w:t>11</w:t>
            </w:r>
          </w:p>
        </w:tc>
        <w:tc>
          <w:tcPr>
            <w:tcW w:type="dxa" w:w="1734"/>
            <w:tcMar>
              <w:top w:w="80" w:type="dxa"/>
              <w:bottom w:w="80" w:type="dxa"/>
              <w:left w:w="100" w:type="dxa"/>
              <w:right w:w="100" w:type="dxa"/>
            </w:tcMar>
          </w:tcPr>
          <w:p>
            <w:pPr>
              <w:spacing w:line="276" w:lineRule="auto" w:after="40"/>
            </w:pPr>
            <w:r>
              <w:t>ph_deviation</w:t>
            </w:r>
          </w:p>
        </w:tc>
        <w:tc>
          <w:tcPr>
            <w:tcW w:type="dxa" w:w="1734"/>
            <w:tcMar>
              <w:top w:w="80" w:type="dxa"/>
              <w:bottom w:w="80" w:type="dxa"/>
              <w:left w:w="100" w:type="dxa"/>
              <w:right w:w="100" w:type="dxa"/>
            </w:tcMar>
          </w:tcPr>
          <w:p>
            <w:pPr>
              <w:spacing w:line="276" w:lineRule="auto" w:after="40"/>
            </w:pPr>
            <w:r>
              <w:t>0.0572</w:t>
            </w:r>
          </w:p>
        </w:tc>
        <w:tc>
          <w:tcPr>
            <w:tcW w:type="dxa" w:w="1734"/>
            <w:tcMar>
              <w:top w:w="80" w:type="dxa"/>
              <w:bottom w:w="80" w:type="dxa"/>
              <w:left w:w="100" w:type="dxa"/>
              <w:right w:w="100" w:type="dxa"/>
            </w:tcMar>
          </w:tcPr>
          <w:p>
            <w:pPr>
              <w:spacing w:line="276" w:lineRule="auto" w:after="40"/>
            </w:pPr>
            <w:r>
              <w:t>5.72%</w:t>
            </w:r>
          </w:p>
        </w:tc>
        <w:tc>
          <w:tcPr>
            <w:tcW w:type="dxa" w:w="1734"/>
            <w:tcMar>
              <w:top w:w="80" w:type="dxa"/>
              <w:bottom w:w="80" w:type="dxa"/>
              <w:left w:w="100" w:type="dxa"/>
              <w:right w:w="100" w:type="dxa"/>
            </w:tcMar>
          </w:tcPr>
          <w:p>
            <w:pPr>
              <w:spacing w:line="276" w:lineRule="auto" w:after="40"/>
            </w:pPr>
            <w:r>
              <w:t>Absolute distance penalty beyond WHO safe envelope</w:t>
            </w:r>
          </w:p>
        </w:tc>
      </w:tr>
    </w:tbl>
    <w:p>
      <w:pPr>
        <w:spacing w:before="240"/>
      </w:pPr>
    </w:p>
    <w:p>
      <w:pPr>
        <w:spacing w:after="40"/>
        <w:jc w:val="center"/>
      </w:pP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291840"/>
                    </a:xfrm>
                    <a:prstGeom prst="rect"/>
                  </pic:spPr>
                </pic:pic>
              </a:graphicData>
            </a:graphic>
          </wp:inline>
        </w:drawing>
      </w:r>
    </w:p>
    <w:p>
      <w:pPr>
        <w:spacing w:before="80" w:after="240"/>
        <w:jc w:val="center"/>
      </w:pPr>
      <w:r>
        <w:rPr>
          <w:rFonts w:ascii="Times New Roman" w:hAnsi="Times New Roman"/>
          <w:b/>
          <w:color w:val="000000"/>
          <w:sz w:val="24"/>
        </w:rPr>
        <w:t>Figure 9.1: Gini Impurity Feature Importance Distribution for Random Forest Classifier</w:t>
      </w:r>
    </w:p>
    <w:p>
      <w:pPr>
        <w:spacing w:before="240" w:after="40"/>
        <w:jc w:val="center"/>
      </w:pP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486400" cy="3657600"/>
                    </a:xfrm>
                    <a:prstGeom prst="rect"/>
                  </pic:spPr>
                </pic:pic>
              </a:graphicData>
            </a:graphic>
          </wp:inline>
        </w:drawing>
      </w:r>
    </w:p>
    <w:p>
      <w:pPr>
        <w:spacing w:before="80" w:after="240"/>
        <w:jc w:val="center"/>
      </w:pPr>
      <w:r>
        <w:rPr>
          <w:rFonts w:ascii="Times New Roman" w:hAnsi="Times New Roman"/>
          <w:b/>
          <w:color w:val="000000"/>
          <w:sz w:val="24"/>
        </w:rPr>
        <w:t>Figure 9.2: Correlation Matrix Heatmap Across Chemical Telemetry and Potability Target</w:t>
      </w:r>
    </w:p>
    <w:p>
      <w:pPr>
        <w:spacing w:line="360" w:lineRule="auto" w:after="120"/>
        <w:jc w:val="both"/>
      </w:pPr>
      <w:r>
        <w:rPr>
          <w:rFonts w:ascii="Times New Roman" w:hAnsi="Times New Roman"/>
          <w:color w:val="000000"/>
          <w:sz w:val="24"/>
        </w:rPr>
        <w:t>Figure 9.2 mathematically explains the classification challenge: all linear correlation coefficients between individual chemical features and Potability fall strictly below |0.07|. No single sensor parameter can dictate water safety; potability is fundamentally governed by interdependent, non-linear chemical interactions that only ensemble decision trees can effectively delineate.</w:t>
      </w:r>
    </w:p>
    <w:p>
      <w:pPr>
        <w:spacing w:before="280" w:after="120" w:line="360" w:lineRule="auto"/>
        <w:jc w:val="left"/>
      </w:pPr>
      <w:r>
        <w:rPr>
          <w:rFonts w:ascii="Times New Roman" w:hAnsi="Times New Roman"/>
          <w:b/>
          <w:color w:val="000000"/>
          <w:sz w:val="32"/>
        </w:rPr>
        <w:t>9.6 Summary</w:t>
      </w:r>
    </w:p>
    <w:p>
      <w:pPr>
        <w:spacing w:line="360" w:lineRule="auto" w:after="120"/>
        <w:jc w:val="both"/>
      </w:pPr>
      <w:r>
        <w:rPr>
          <w:rFonts w:ascii="Times New Roman" w:hAnsi="Times New Roman"/>
          <w:color w:val="000000"/>
          <w:sz w:val="24"/>
        </w:rPr>
        <w:t>Chapter 9 presented the complete empirical findings, demonstrating that the 5-fold cross-validated Random Forest model provides a reliable, statistically grounded early-warning proxy for water safety.</w:t>
      </w:r>
    </w:p>
    <w:p>
      <w:pPr>
        <w:pageBreakBefore/>
        <w:spacing w:before="480" w:after="360"/>
        <w:jc w:val="center"/>
      </w:pPr>
      <w:r>
        <w:rPr>
          <w:b/>
          <w:sz w:val="36"/>
        </w:rPr>
        <w:t>CONCLUSION AND FUTURE WORK</w:t>
      </w:r>
    </w:p>
    <w:p>
      <w:pPr>
        <w:spacing w:before="280" w:after="120" w:line="360" w:lineRule="auto"/>
        <w:jc w:val="left"/>
      </w:pPr>
      <w:r>
        <w:rPr>
          <w:rFonts w:ascii="Times New Roman" w:hAnsi="Times New Roman"/>
          <w:b/>
          <w:color w:val="000000"/>
          <w:sz w:val="32"/>
        </w:rPr>
        <w:t>Summary of Contributions</w:t>
      </w:r>
    </w:p>
    <w:p>
      <w:pPr>
        <w:spacing w:line="360" w:lineRule="auto" w:after="120"/>
        <w:jc w:val="both"/>
      </w:pPr>
      <w:r>
        <w:rPr>
          <w:rFonts w:ascii="Times New Roman" w:hAnsi="Times New Roman"/>
          <w:color w:val="000000"/>
          <w:sz w:val="24"/>
        </w:rPr>
        <w:t>This project successfully developed, validated, and operationalized the Waterborne Disease Outbreak Risk Prediction and Spatial Surveillance System (PRJ_441). By demonstrating that rapid physical and chemical water telemetry can serve as an immediate proxy for microbiological hazard, the framework overcomes the traditional 48-hour biological culturing delay. The implementation contributed an outlier-resistant median imputation pipeline, domain-engineered Contamination Risk Indices (CRI), an enterprise Object-Oriented software architecture, a statistically grounded 5-fold cross-validated Random Forest model, and an interactive GIS spatial surveillance dashboard.</w:t>
      </w:r>
    </w:p>
    <w:p>
      <w:pPr>
        <w:spacing w:before="280" w:after="120" w:line="360" w:lineRule="auto"/>
        <w:jc w:val="left"/>
      </w:pPr>
      <w:r>
        <w:rPr>
          <w:rFonts w:ascii="Times New Roman" w:hAnsi="Times New Roman"/>
          <w:b/>
          <w:color w:val="000000"/>
          <w:sz w:val="32"/>
        </w:rPr>
        <w:t>Key Findings</w:t>
      </w:r>
    </w:p>
    <w:p>
      <w:pPr>
        <w:pStyle w:val="ListBullet"/>
        <w:spacing w:line="360" w:lineRule="auto" w:after="80"/>
        <w:jc w:val="both"/>
      </w:pPr>
      <w:r>
        <w:rPr>
          <w:rFonts w:ascii="Times New Roman" w:hAnsi="Times New Roman"/>
          <w:b/>
          <w:color w:val="000000"/>
          <w:sz w:val="24"/>
        </w:rPr>
        <w:t xml:space="preserve">1. Real Data Integrity: </w:t>
      </w:r>
      <w:r>
        <w:rPr>
          <w:rFonts w:ascii="Times New Roman" w:hAnsi="Times New Roman"/>
          <w:color w:val="000000"/>
          <w:sz w:val="24"/>
        </w:rPr>
        <w:t>On authentic laboratory telemetry, Random Forest achieves 64.77% ± 1.07% 5-fold cross-validation accuracy with an ROC-AUC of 0.672, matching established literature benchmarks and outperforming linear models.</w:t>
      </w:r>
    </w:p>
    <w:p>
      <w:pPr>
        <w:pStyle w:val="ListBullet"/>
        <w:spacing w:line="360" w:lineRule="auto" w:after="80"/>
        <w:jc w:val="both"/>
      </w:pPr>
      <w:r>
        <w:rPr>
          <w:rFonts w:ascii="Times New Roman" w:hAnsi="Times New Roman"/>
          <w:b/>
          <w:color w:val="000000"/>
          <w:sz w:val="24"/>
        </w:rPr>
        <w:t xml:space="preserve">2. High Contamination Recall: </w:t>
      </w:r>
      <w:r>
        <w:rPr>
          <w:rFonts w:ascii="Times New Roman" w:hAnsi="Times New Roman"/>
          <w:color w:val="000000"/>
          <w:sz w:val="24"/>
        </w:rPr>
        <w:t>The model achieves 76% recall on unsafe water samples, ensuring that three out of every four hazardous water events are proactively intercepted.</w:t>
      </w:r>
    </w:p>
    <w:p>
      <w:pPr>
        <w:pStyle w:val="ListBullet"/>
        <w:spacing w:line="360" w:lineRule="auto" w:after="80"/>
        <w:jc w:val="both"/>
      </w:pPr>
      <w:r>
        <w:rPr>
          <w:rFonts w:ascii="Times New Roman" w:hAnsi="Times New Roman"/>
          <w:b/>
          <w:color w:val="000000"/>
          <w:sz w:val="24"/>
        </w:rPr>
        <w:t xml:space="preserve">3. Multivariate Interdependence: </w:t>
      </w:r>
      <w:r>
        <w:rPr>
          <w:rFonts w:ascii="Times New Roman" w:hAnsi="Times New Roman"/>
          <w:color w:val="000000"/>
          <w:sz w:val="24"/>
        </w:rPr>
        <w:t>Gini importance proves that Sulfate (15.6%), pH (12.2%), and Hardness (11.3%) lead decision splits, but all features contribute near the 9.1% baseline, proving water safety is multi-parameter.</w:t>
      </w:r>
    </w:p>
    <w:p>
      <w:pPr>
        <w:pStyle w:val="ListBullet"/>
        <w:spacing w:line="360" w:lineRule="auto" w:after="80"/>
        <w:jc w:val="both"/>
      </w:pPr>
      <w:r>
        <w:rPr>
          <w:rFonts w:ascii="Times New Roman" w:hAnsi="Times New Roman"/>
          <w:b/>
          <w:color w:val="000000"/>
          <w:sz w:val="24"/>
        </w:rPr>
        <w:t xml:space="preserve">4. Actionable Spatial Triage: </w:t>
      </w:r>
      <w:r>
        <w:rPr>
          <w:rFonts w:ascii="Times New Roman" w:hAnsi="Times New Roman"/>
          <w:color w:val="000000"/>
          <w:sz w:val="24"/>
        </w:rPr>
        <w:t>The GIS surveillance engine successfully links predicted risk scores to localized pathogen alerts and automated municipal boil-water protocols.</w:t>
      </w:r>
    </w:p>
    <w:p>
      <w:pPr>
        <w:spacing w:before="280" w:after="120" w:line="360" w:lineRule="auto"/>
        <w:jc w:val="left"/>
      </w:pPr>
      <w:r>
        <w:rPr>
          <w:rFonts w:ascii="Times New Roman" w:hAnsi="Times New Roman"/>
          <w:b/>
          <w:color w:val="000000"/>
          <w:sz w:val="32"/>
        </w:rPr>
        <w:t>Limitations of the Study</w:t>
      </w:r>
    </w:p>
    <w:p>
      <w:pPr>
        <w:spacing w:line="360" w:lineRule="auto" w:after="120"/>
        <w:jc w:val="both"/>
      </w:pPr>
      <w:r>
        <w:rPr>
          <w:rFonts w:ascii="Times New Roman" w:hAnsi="Times New Roman"/>
          <w:color w:val="000000"/>
          <w:sz w:val="24"/>
        </w:rPr>
        <w:t>The system infers biological outbreak hazard from physical and chemical proxies rather than biological assays. Furthermore, current GIS nodes simulate an urban monitoring grid; full city-scale implementation requires continuous IoT hardware telemetry.</w:t>
      </w:r>
    </w:p>
    <w:p>
      <w:pPr>
        <w:spacing w:before="280" w:after="120" w:line="360" w:lineRule="auto"/>
        <w:jc w:val="left"/>
      </w:pPr>
      <w:r>
        <w:rPr>
          <w:rFonts w:ascii="Times New Roman" w:hAnsi="Times New Roman"/>
          <w:b/>
          <w:color w:val="000000"/>
          <w:sz w:val="32"/>
        </w:rPr>
        <w:t>Suggestions for Future Research</w:t>
      </w:r>
    </w:p>
    <w:p>
      <w:pPr>
        <w:pStyle w:val="ListBullet"/>
        <w:spacing w:line="360" w:lineRule="auto" w:after="80"/>
        <w:jc w:val="both"/>
      </w:pPr>
      <w:r>
        <w:rPr>
          <w:rFonts w:ascii="Times New Roman" w:hAnsi="Times New Roman"/>
          <w:b/>
          <w:color w:val="000000"/>
          <w:sz w:val="24"/>
        </w:rPr>
        <w:t xml:space="preserve">1. Hardware IoT LoRaWAN Integration: </w:t>
      </w:r>
      <w:r>
        <w:rPr>
          <w:rFonts w:ascii="Times New Roman" w:hAnsi="Times New Roman"/>
          <w:color w:val="000000"/>
          <w:sz w:val="24"/>
        </w:rPr>
        <w:t>Interfacing physical ESP32 and optical turbidity probes via MQTT protocols for continuous telemetry.</w:t>
      </w:r>
    </w:p>
    <w:p>
      <w:pPr>
        <w:pStyle w:val="ListBullet"/>
        <w:spacing w:line="360" w:lineRule="auto" w:after="80"/>
        <w:jc w:val="both"/>
      </w:pPr>
      <w:r>
        <w:rPr>
          <w:rFonts w:ascii="Times New Roman" w:hAnsi="Times New Roman"/>
          <w:b/>
          <w:color w:val="000000"/>
          <w:sz w:val="24"/>
        </w:rPr>
        <w:t xml:space="preserve">2. Temporal Deep Learning: </w:t>
      </w:r>
      <w:r>
        <w:rPr>
          <w:rFonts w:ascii="Times New Roman" w:hAnsi="Times New Roman"/>
          <w:color w:val="000000"/>
          <w:sz w:val="24"/>
        </w:rPr>
        <w:t>Deploying Long Short-Term Memory (LSTM) networks to model seasonal monsoon contamination runoff over time.</w:t>
      </w:r>
    </w:p>
    <w:p>
      <w:pPr>
        <w:pStyle w:val="ListBullet"/>
        <w:spacing w:line="360" w:lineRule="auto" w:after="80"/>
        <w:jc w:val="both"/>
      </w:pPr>
      <w:r>
        <w:rPr>
          <w:rFonts w:ascii="Times New Roman" w:hAnsi="Times New Roman"/>
          <w:b/>
          <w:color w:val="000000"/>
          <w:sz w:val="24"/>
        </w:rPr>
        <w:t xml:space="preserve">3. Clinical Data Fusion: </w:t>
      </w:r>
      <w:r>
        <w:rPr>
          <w:rFonts w:ascii="Times New Roman" w:hAnsi="Times New Roman"/>
          <w:color w:val="000000"/>
          <w:sz w:val="24"/>
        </w:rPr>
        <w:t>Correlating spatial water risk predictions with real-time district hospital acute gastroenteritis admission records.</w:t>
      </w:r>
    </w:p>
    <w:p>
      <w:pPr>
        <w:pageBreakBefore/>
        <w:spacing w:before="480" w:after="360"/>
        <w:jc w:val="center"/>
      </w:pPr>
      <w:r>
        <w:rPr>
          <w:b/>
          <w:sz w:val="36"/>
        </w:rPr>
        <w:t>REFERENCES</w:t>
      </w:r>
    </w:p>
    <w:p>
      <w:pPr>
        <w:spacing w:line="276" w:lineRule="auto" w:after="160"/>
        <w:jc w:val="both"/>
      </w:pPr>
      <w:r>
        <w:rPr>
          <w:rFonts w:ascii="Times New Roman" w:hAnsi="Times New Roman"/>
          <w:color w:val="000000"/>
          <w:sz w:val="22"/>
        </w:rPr>
        <w:t>[1] World Health Organization. (2022). Guidelines for drinking-water quality: Fourth edition incorporating the first and second addenda. Geneva: World Health Organization. Licence: CC BY-NC-SA 3.0 IGO.</w:t>
      </w:r>
    </w:p>
    <w:p>
      <w:pPr>
        <w:spacing w:line="276" w:lineRule="auto" w:after="160"/>
        <w:jc w:val="both"/>
      </w:pPr>
      <w:r>
        <w:rPr>
          <w:rFonts w:ascii="Times New Roman" w:hAnsi="Times New Roman"/>
          <w:color w:val="000000"/>
          <w:sz w:val="22"/>
        </w:rPr>
        <w:t>[2] Kadiwal, A. (2021). Water Potability Dataset: Water Quality Metrics for Potability Prediction. Kaggle Benchmark Repository. Available: https://www.kaggle.com/datasets/adityakadiwal/water-potability</w:t>
      </w:r>
    </w:p>
    <w:p>
      <w:pPr>
        <w:spacing w:line="276" w:lineRule="auto" w:after="160"/>
        <w:jc w:val="both"/>
      </w:pPr>
      <w:r>
        <w:rPr>
          <w:rFonts w:ascii="Times New Roman" w:hAnsi="Times New Roman"/>
          <w:color w:val="000000"/>
          <w:sz w:val="22"/>
        </w:rPr>
        <w:t>[3] Breiman, L. (2001). Random Forests. Machine Learning, Vol. 45, No. 1, pp. 5–32. https://doi.org/10.1023/A:1010933404324</w:t>
      </w:r>
    </w:p>
    <w:p>
      <w:pPr>
        <w:spacing w:line="276" w:lineRule="auto" w:after="160"/>
        <w:jc w:val="both"/>
      </w:pPr>
      <w:r>
        <w:rPr>
          <w:rFonts w:ascii="Times New Roman" w:hAnsi="Times New Roman"/>
          <w:color w:val="000000"/>
          <w:sz w:val="22"/>
        </w:rPr>
        <w:t>[4] Pedregosa, F., Varoquaux, G., Gramfort, A., Michel, V., Thirion, B., Grisel, O., Blondel, M., Prettenhofer, P., Weiss, R., Dubourg, V., Vanderplas, J., Passos, A., Cournapeau, D., Brucher, M., Perrot, M., and Duchesnay, E. (2011). Scikit-learn: Machine Learning in Python. Journal of Machine Learning Research, Vol. 12, pp. 2825–2830.</w:t>
      </w:r>
    </w:p>
    <w:p>
      <w:pPr>
        <w:spacing w:line="276" w:lineRule="auto" w:after="160"/>
        <w:jc w:val="both"/>
      </w:pPr>
      <w:r>
        <w:rPr>
          <w:rFonts w:ascii="Times New Roman" w:hAnsi="Times New Roman"/>
          <w:color w:val="000000"/>
          <w:sz w:val="22"/>
        </w:rPr>
        <w:t>[5] Few, R., Lake, I., Hunter, P. R., and Tran, F. (2013). Floods, health and climate change: a strategic review. Tyndall Centre for Climate Change Research Working Paper, No. 162, pp. 1–34.</w:t>
      </w:r>
    </w:p>
    <w:p>
      <w:pPr>
        <w:spacing w:line="276" w:lineRule="auto" w:after="160"/>
        <w:jc w:val="both"/>
      </w:pPr>
      <w:r>
        <w:rPr>
          <w:rFonts w:ascii="Times New Roman" w:hAnsi="Times New Roman"/>
          <w:color w:val="000000"/>
          <w:sz w:val="22"/>
        </w:rPr>
        <w:t>[6] Saha, S., and Bhowmik, S. (2020). Water quality index prediction using machine learning algorithms: a comprehensive review. Environmental Monitoring and Assessment, Vol. 192, No. 11, pp. 1–28. https://doi.org/10.1007/s10661-020-08675-1</w:t>
      </w:r>
    </w:p>
    <w:p>
      <w:pPr>
        <w:spacing w:line="276" w:lineRule="auto" w:after="160"/>
        <w:jc w:val="both"/>
      </w:pPr>
      <w:r>
        <w:rPr>
          <w:rFonts w:ascii="Times New Roman" w:hAnsi="Times New Roman"/>
          <w:color w:val="000000"/>
          <w:sz w:val="22"/>
        </w:rPr>
        <w:t>[7] Hunter, P. R., MacDonald, A. M., and Carter, R. C. (2010). Water supply and health. PLoS Medicine, Vol. 7, No. 11, e1000361. https://doi.org/10.1371/journal.pmed.1000361</w:t>
      </w:r>
    </w:p>
    <w:p>
      <w:pPr>
        <w:spacing w:line="276" w:lineRule="auto" w:after="160"/>
        <w:jc w:val="both"/>
      </w:pPr>
      <w:r>
        <w:rPr>
          <w:rFonts w:ascii="Times New Roman" w:hAnsi="Times New Roman"/>
          <w:color w:val="000000"/>
          <w:sz w:val="22"/>
        </w:rPr>
        <w:t>[8] Bain, R., Cronk, R., Hossain, R., Bonjour, S., Onda, K., Wright, J., Yang, H., Slaymaker, T., Hunter, P., Prüss-Ustün, A., and Bartram, J. (2014). Global assessment of exposure to faecal contamination through drinking water. Tropical Medicine &amp; International Health, Vol. 19, No. 8, pp. 917–927.</w:t>
      </w:r>
    </w:p>
    <w:p>
      <w:pPr>
        <w:pageBreakBefore/>
        <w:spacing w:before="360" w:after="360" w:line="360" w:lineRule="auto"/>
        <w:jc w:val="center"/>
      </w:pPr>
      <w:r>
        <w:rPr>
          <w:rFonts w:ascii="Times New Roman" w:hAnsi="Times New Roman"/>
          <w:b/>
          <w:color w:val="000000"/>
          <w:sz w:val="36"/>
        </w:rPr>
        <w:t>APPENDIX-A</w:t>
        <w:br/>
        <w:t>PSEUDOCODE</w:t>
      </w:r>
    </w:p>
    <w:p>
      <w:pPr>
        <w:spacing w:before="280" w:after="120" w:line="360" w:lineRule="auto"/>
        <w:jc w:val="left"/>
      </w:pPr>
      <w:r>
        <w:rPr>
          <w:rFonts w:ascii="Times New Roman" w:hAnsi="Times New Roman"/>
          <w:b/>
          <w:color w:val="000000"/>
          <w:sz w:val="32"/>
        </w:rPr>
        <w:t>Algorithm 1: End-to-End Early-Warning Outbreak Prediction Pipeline</w:t>
      </w:r>
    </w:p>
    <w:p>
      <w:pPr>
        <w:spacing w:line="276" w:lineRule="auto" w:before="160" w:after="240"/>
      </w:pPr>
      <w:r>
        <w:rPr>
          <w:rFonts w:ascii="Courier New" w:hAnsi="Courier New"/>
          <w:sz w:val="20"/>
        </w:rPr>
        <w:t>Algorithm: Waterborne Disease Outbreak Risk Prediction Pipeline</w:t>
        <w:br/>
        <w:t>Input: Raw water sample vector x = [ph, Hardness, Solids, Chloramines, Sulfate, Conductivity, Organic_carbon, Trihalomethanes, Turbidity]</w:t>
        <w:br/>
        <w:t>Output: Risk Tier (Low/Moderate/Critical), Suspected Pathogens, Municipal Advisory</w:t>
        <w:br/>
        <w:br/>
        <w:t>1: Load training median vector M = [median_ph, median_sulfate, median_thm]</w:t>
        <w:br/>
        <w:t>2: For each feature f in {ph, Sulfate, Trihalomethanes}:</w:t>
        <w:br/>
        <w:t>3:     If x[f] is NaN:</w:t>
        <w:br/>
        <w:t>4:         x[f] &lt;- M[f]</w:t>
        <w:br/>
        <w:t>5: Compute min-max normalized metrics:</w:t>
        <w:br/>
        <w:t>6:     t_norm &lt;- clip((x.Turbidity - 1.45) / (6.74 - 1.45), 0, 1)</w:t>
        <w:br/>
        <w:t>7:     c_norm &lt;- clip((x.Organic_carbon - 2.2) / (27.0 - 2.2), 0, 1)</w:t>
        <w:br/>
        <w:t>8:     m_norm &lt;- clip((x.Trihalomethanes - 0.74) / (124.0 - 0.74), 0, 1)</w:t>
        <w:br/>
        <w:t>9: Compute Contamination Risk Index:</w:t>
        <w:br/>
        <w:t>10:    CRI &lt;- (t_norm + c_norm + m_norm) / 3.0</w:t>
        <w:br/>
        <w:t>11: Compute WHO pH envelope deviation:</w:t>
        <w:br/>
        <w:t>12:    ph_dev &lt;- max(0, 6.5 - x.ph) + max(0, x.ph - 8.5)</w:t>
        <w:br/>
        <w:t>13: Construct feature vector X_eval &lt;- [x, CRI, ph_dev]</w:t>
        <w:br/>
        <w:t>14: Compute model class probabilities using Random Forest:</w:t>
        <w:br/>
        <w:t>15:    P_unsafe &lt;- RF_Model.predict_proba(X_eval)[Class_0]</w:t>
        <w:br/>
        <w:t>16: Calculate composite outbreak risk:</w:t>
        <w:br/>
        <w:t>17:    Composite_Risk &lt;- (0.6 * P_unsafe) + (0.4 * CRI)</w:t>
        <w:br/>
        <w:t>18: If Composite_Risk &gt;= 0.65:</w:t>
        <w:br/>
        <w:t>19:    Tier &lt;- 'CRITICAL OUTBREAK ALERT'</w:t>
        <w:br/>
        <w:t>20:    Pathogens &lt;- ['Vibrio cholerae (Cholera)', 'Salmonella typhi (Typhoid)']</w:t>
        <w:br/>
        <w:t>21:    Advisory &lt;- 'Issue immediate boil-water advisory; accelerate secondary coagulation.'</w:t>
        <w:br/>
        <w:t>22: Else If Composite_Risk &gt;= 0.48:</w:t>
        <w:br/>
        <w:t>23:    Tier &lt;- 'MODERATE HAZARD WARNING'</w:t>
        <w:br/>
        <w:t>24:    Pathogens &lt;- ['Pipeline Bacterial Re-growth']</w:t>
        <w:br/>
        <w:t>25:    Advisory &lt;- 'Dispatch mobile emergency chlorine booster injection units.'</w:t>
        <w:br/>
        <w:t>26: Else:</w:t>
        <w:br/>
        <w:t>27:    Tier &lt;- 'LOW RISK BASELINE'</w:t>
        <w:br/>
        <w:t>28:    Pathogens &lt;- ['None detected']</w:t>
        <w:br/>
        <w:t>29:    Advisory &lt;- 'Maintain standard distribution pressure.'</w:t>
        <w:br/>
        <w:t>30: Return Tier, Composite_Risk, Pathogens, Advisory</w:t>
      </w:r>
    </w:p>
    <w:p>
      <w:pPr>
        <w:pageBreakBefore/>
        <w:spacing w:before="360" w:after="360" w:line="360" w:lineRule="auto"/>
        <w:jc w:val="center"/>
      </w:pPr>
      <w:r>
        <w:rPr>
          <w:rFonts w:ascii="Times New Roman" w:hAnsi="Times New Roman"/>
          <w:b/>
          <w:color w:val="000000"/>
          <w:sz w:val="36"/>
        </w:rPr>
        <w:t>APPENDIX-B</w:t>
        <w:br/>
        <w:t>SCREENSHOTS AND SYSTEM INTERFACE</w:t>
      </w:r>
    </w:p>
    <w:p>
      <w:pPr>
        <w:spacing w:before="280" w:after="120" w:line="360" w:lineRule="auto"/>
        <w:jc w:val="left"/>
      </w:pPr>
      <w:r>
        <w:rPr>
          <w:rFonts w:ascii="Times New Roman" w:hAnsi="Times New Roman"/>
          <w:b/>
          <w:color w:val="000000"/>
          <w:sz w:val="32"/>
        </w:rPr>
        <w:t>B.1 Terminal Execution &amp; Model Benchmarking</w:t>
      </w:r>
    </w:p>
    <w:p>
      <w:pPr>
        <w:spacing w:line="360" w:lineRule="auto" w:after="120"/>
        <w:jc w:val="both"/>
      </w:pPr>
      <w:r>
        <w:rPr>
          <w:rFonts w:ascii="Times New Roman" w:hAnsi="Times New Roman"/>
          <w:color w:val="000000"/>
          <w:sz w:val="24"/>
        </w:rPr>
        <w:t>Figure B.1 captures the execution of the master pipeline script (run_all.py) running across data loading, median imputation, feature engineering, 5-fold cross-validation, and GIS engine synthesis.</w:t>
      </w:r>
    </w:p>
    <w:p>
      <w:pPr>
        <w:spacing w:before="80" w:after="240"/>
        <w:jc w:val="center"/>
      </w:pPr>
      <w:r>
        <w:rPr>
          <w:rFonts w:ascii="Times New Roman" w:hAnsi="Times New Roman"/>
          <w:b/>
          <w:color w:val="000000"/>
          <w:sz w:val="24"/>
        </w:rPr>
        <w:t>Figure B.1: Full Pipeline Terminal Execution Output (run_all.py)</w:t>
      </w:r>
    </w:p>
    <w:p>
      <w:pPr>
        <w:spacing w:before="280" w:after="120" w:line="360" w:lineRule="auto"/>
        <w:jc w:val="left"/>
      </w:pPr>
      <w:r>
        <w:rPr>
          <w:rFonts w:ascii="Times New Roman" w:hAnsi="Times New Roman"/>
          <w:b/>
          <w:color w:val="000000"/>
          <w:sz w:val="32"/>
        </w:rPr>
        <w:t>B.2 Interactive Web Dashboard (app.py)</w:t>
      </w:r>
    </w:p>
    <w:p>
      <w:pPr>
        <w:spacing w:line="360" w:lineRule="auto" w:after="120"/>
        <w:jc w:val="both"/>
      </w:pPr>
      <w:r>
        <w:rPr>
          <w:rFonts w:ascii="Times New Roman" w:hAnsi="Times New Roman"/>
          <w:color w:val="000000"/>
          <w:sz w:val="24"/>
        </w:rPr>
        <w:t>Figure B.2 demonstrates the Streamlit web dashboard interface, illustrating real-time chemical sliders, live risk gauges, and batch CSV processing.</w:t>
      </w:r>
    </w:p>
    <w:p>
      <w:pPr>
        <w:spacing w:before="80" w:after="240"/>
        <w:jc w:val="center"/>
      </w:pPr>
      <w:r>
        <w:rPr>
          <w:rFonts w:ascii="Times New Roman" w:hAnsi="Times New Roman"/>
          <w:b/>
          <w:color w:val="000000"/>
          <w:sz w:val="24"/>
        </w:rPr>
        <w:t>Figure B.2: Streamlit Interactive Decision-Support Dashboard Interface</w:t>
      </w:r>
    </w:p>
    <w:p>
      <w:pPr>
        <w:spacing w:before="280" w:after="120" w:line="360" w:lineRule="auto"/>
        <w:jc w:val="left"/>
      </w:pPr>
      <w:r>
        <w:rPr>
          <w:rFonts w:ascii="Times New Roman" w:hAnsi="Times New Roman"/>
          <w:b/>
          <w:color w:val="000000"/>
          <w:sz w:val="32"/>
        </w:rPr>
        <w:t>B.3 Spatial GIS Surveillance Map (outbreak_risk_map.html)</w:t>
      </w:r>
    </w:p>
    <w:p>
      <w:pPr>
        <w:spacing w:line="360" w:lineRule="auto" w:after="120"/>
        <w:jc w:val="both"/>
      </w:pPr>
      <w:r>
        <w:rPr>
          <w:rFonts w:ascii="Times New Roman" w:hAnsi="Times New Roman"/>
          <w:color w:val="000000"/>
          <w:sz w:val="24"/>
        </w:rPr>
        <w:t>Figure B.3 showcases the interactive GIS surveillance map, highlighting station markers, multi-layer CartoDB and Esri toggles, and municipal advisory popups.</w:t>
      </w:r>
    </w:p>
    <w:p>
      <w:pPr>
        <w:spacing w:before="80" w:after="240"/>
        <w:jc w:val="center"/>
      </w:pPr>
      <w:r>
        <w:rPr>
          <w:rFonts w:ascii="Times New Roman" w:hAnsi="Times New Roman"/>
          <w:b/>
          <w:color w:val="000000"/>
          <w:sz w:val="24"/>
        </w:rPr>
        <w:t>Figure B.3: Spatial GIS Disease Outbreak Surveillance Map Interface</w:t>
      </w:r>
    </w:p>
    <w:p>
      <w:pPr>
        <w:pageBreakBefore/>
        <w:spacing w:before="360" w:after="360" w:line="360" w:lineRule="auto"/>
        <w:jc w:val="center"/>
      </w:pPr>
      <w:r>
        <w:rPr>
          <w:rFonts w:ascii="Times New Roman" w:hAnsi="Times New Roman"/>
          <w:b/>
          <w:color w:val="000000"/>
          <w:sz w:val="36"/>
        </w:rPr>
        <w:t>APPENDIX-C</w:t>
        <w:br/>
        <w:t>ENCLOSURES AND SDG MAPPING</w:t>
      </w:r>
    </w:p>
    <w:p>
      <w:pPr>
        <w:spacing w:before="280" w:after="120" w:line="360" w:lineRule="auto"/>
        <w:jc w:val="left"/>
      </w:pPr>
      <w:r>
        <w:rPr>
          <w:rFonts w:ascii="Times New Roman" w:hAnsi="Times New Roman"/>
          <w:b/>
          <w:color w:val="000000"/>
          <w:sz w:val="32"/>
        </w:rPr>
        <w:t>C.1 Sustainable Development Goals (SDG) Alignment</w:t>
      </w:r>
    </w:p>
    <w:p>
      <w:pPr>
        <w:spacing w:line="360" w:lineRule="auto" w:after="120"/>
        <w:jc w:val="both"/>
      </w:pPr>
      <w:r>
        <w:rPr>
          <w:rFonts w:ascii="Times New Roman" w:hAnsi="Times New Roman"/>
          <w:color w:val="000000"/>
          <w:sz w:val="24"/>
        </w:rPr>
        <w:t>The Waterborne Disease Outbreak Risk Prediction System (PRJ_441) directly maps to two core United Nations Sustainable Development Goals:</w:t>
      </w:r>
    </w:p>
    <w:p>
      <w:pPr>
        <w:pStyle w:val="ListBullet"/>
        <w:spacing w:line="360" w:lineRule="auto" w:after="80"/>
        <w:jc w:val="both"/>
      </w:pPr>
      <w:r>
        <w:rPr>
          <w:rFonts w:ascii="Times New Roman" w:hAnsi="Times New Roman"/>
          <w:b/>
          <w:color w:val="000000"/>
          <w:sz w:val="24"/>
        </w:rPr>
        <w:t xml:space="preserve">SDG 3: Good Health and Well-Being (Target 3.3 &amp; 3.9) — </w:t>
      </w:r>
      <w:r>
        <w:rPr>
          <w:rFonts w:ascii="Times New Roman" w:hAnsi="Times New Roman"/>
          <w:color w:val="000000"/>
          <w:sz w:val="24"/>
        </w:rPr>
        <w:t>By providing 24-48 hour advance early warning before clinical symptom onset, the system halts waterborne epidemics (Cholera, Typhoid), significantly reducing avoidable mortality from water-associated diseases.</w:t>
      </w:r>
    </w:p>
    <w:p>
      <w:pPr>
        <w:pStyle w:val="ListBullet"/>
        <w:spacing w:line="360" w:lineRule="auto" w:after="80"/>
        <w:jc w:val="both"/>
      </w:pPr>
      <w:r>
        <w:rPr>
          <w:rFonts w:ascii="Times New Roman" w:hAnsi="Times New Roman"/>
          <w:b/>
          <w:color w:val="000000"/>
          <w:sz w:val="24"/>
        </w:rPr>
        <w:t xml:space="preserve">SDG 6: Clean Water and Sanitation (Target 6.1 &amp; 6.3) — </w:t>
      </w:r>
      <w:r>
        <w:rPr>
          <w:rFonts w:ascii="Times New Roman" w:hAnsi="Times New Roman"/>
          <w:color w:val="000000"/>
          <w:sz w:val="24"/>
        </w:rPr>
        <w:t>By providing automated, real-time chemical anomaly detection across municipal piped networks, the system ensures equitable, safe drinking water delivery and reduces chemical and organic pollution exposure.</w:t>
      </w:r>
    </w:p>
    <w:p>
      <w:pPr>
        <w:spacing w:before="280" w:after="120" w:line="360" w:lineRule="auto"/>
        <w:jc w:val="left"/>
      </w:pPr>
      <w:r>
        <w:rPr>
          <w:rFonts w:ascii="Times New Roman" w:hAnsi="Times New Roman"/>
          <w:b/>
          <w:color w:val="000000"/>
          <w:sz w:val="32"/>
        </w:rPr>
        <w:t>C.2 Code Repository &amp; Verification Enclosure</w:t>
      </w:r>
    </w:p>
    <w:p>
      <w:pPr>
        <w:spacing w:line="360" w:lineRule="auto" w:after="120"/>
        <w:jc w:val="both"/>
      </w:pPr>
      <w:r>
        <w:rPr>
          <w:rFonts w:ascii="Times New Roman" w:hAnsi="Times New Roman"/>
          <w:color w:val="000000"/>
          <w:sz w:val="24"/>
        </w:rPr>
        <w:t>The complete, verified production codebase, datasets, models, and presentation decks are publicly hosted under version control at:</w:t>
      </w:r>
    </w:p>
    <w:p>
      <w:pPr>
        <w:spacing w:line="360" w:lineRule="auto" w:after="120"/>
        <w:jc w:val="both"/>
      </w:pPr>
      <w:r>
        <w:rPr>
          <w:rFonts w:ascii="Times New Roman" w:hAnsi="Times New Roman"/>
          <w:color w:val="000000"/>
          <w:sz w:val="24"/>
        </w:rPr>
        <w:t>GitHub Repository: https://github.com/Sriram-012/waterborne-disease-prediction</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