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sz w:val="36"/>
        </w:rPr>
        <w:t>Abstract</w:t>
      </w:r>
    </w:p>
    <w:p>
      <w:pPr>
        <w:spacing w:line="360" w:lineRule="auto" w:after="120"/>
        <w:jc w:val="both"/>
      </w:pPr>
      <w:r>
        <w:rPr>
          <w:rFonts w:ascii="Times New Roman" w:hAnsi="Times New Roman"/>
          <w:color w:val="000000"/>
          <w:sz w:val="24"/>
        </w:rPr>
        <w:t>Waterborne diseases represent one of the most persistent and devastating public health challenges across the developing world. According to the World Health Organization (WHO 2022), contaminated drinking water sources contribute to over 829,000 diarrheal deaths annually, predominantly afflicting vulnerable pediatric populations in semi-urban and rural areas. Conventional epidemiological surveillance relies on manual microbiological water sampling, bacterial culturing, and retrospective hospital admission logging. This traditional surveillance paradigm imposes an inherent 48 to 72-hour laboratory latency, rendering it structurally incapable of providing timely early warning during rapid contaminant plume ingress, pipe cross-contamination, or monsoonal flash flooding events.</w:t>
      </w:r>
    </w:p>
    <w:p>
      <w:pPr>
        <w:spacing w:line="360" w:lineRule="auto" w:after="120"/>
        <w:jc w:val="both"/>
      </w:pPr>
      <w:r>
        <w:rPr>
          <w:rFonts w:ascii="Times New Roman" w:hAnsi="Times New Roman"/>
          <w:color w:val="000000"/>
          <w:sz w:val="24"/>
        </w:rPr>
        <w:t>This project presents an end-to-end Machine Learning (ML) and Geographic Information System (GIS) surveillance framework designed to transform real-time physicochemical water quality telemetry into predictive outbreak risk intelligence. Using a comprehensive dataset of 3,276 water quality observations, an outlier-resistant median imputation methodology resolves 1,434 missing values across pH, sulfate, and trihalomethanes with zero record attrition. Two novel domain-engineered indicators—the Contamination Risk Index (CRI) and WHO pH Safe Range Deviation—are formulated to encapsulate non-linear geochemical hazard signals.</w:t>
      </w:r>
    </w:p>
    <w:p>
      <w:pPr>
        <w:spacing w:line="360" w:lineRule="auto" w:after="120"/>
        <w:jc w:val="both"/>
      </w:pPr>
      <w:r>
        <w:rPr>
          <w:rFonts w:ascii="Times New Roman" w:hAnsi="Times New Roman"/>
          <w:color w:val="000000"/>
          <w:sz w:val="24"/>
        </w:rPr>
        <w:t>A rigorous 5-Fold Stratified Cross-Validation benchmark across multiple candidate algorithms reveals that while linear models completely fail (Logistic Regression achieving 49.27% accuracy and 0.528 ROC-AUC due to all bivariate correlations falling below |r| &lt; 0.07), non-linear ensemble classifiers effectively capture multi-parameter interactions. The optimized Random Forest classifier achieves an accuracy of 64.77% ± 1.07% with an ROC-AUC of 0.672, securing a high 76.0% recall on unsafe water bodies on an independent holdout evaluation. Gini impurity analysis establishes that Sulfate (15.64%), pH (12.17%), and Hardness (11.27%) represent the primary decision drivers. The predictive engine is operationalized into an interactive Folium GIS surveillance map with simulated Bangalore municipal ward clusters and an interactive 4-tab Streamlit dashboard (app.py) enabling real-time risk triage, GIS visualization, benchmark analytics, and batch CSV screening for municipal water authorities.</w:t>
      </w:r>
    </w:p>
    <w:p>
      <w:r>
        <w:br w:type="page"/>
      </w:r>
    </w:p>
    <w:p>
      <w:pPr>
        <w:spacing w:before="240" w:after="240"/>
        <w:jc w:val="center"/>
      </w:pPr>
      <w:r>
        <w:rPr>
          <w:rFonts w:ascii="Times New Roman" w:hAnsi="Times New Roman"/>
          <w:b/>
          <w:sz w:val="36"/>
        </w:rPr>
        <w:t>TABLE OF CONTENTS</w:t>
      </w:r>
    </w:p>
    <w:tbl>
      <w:tblPr>
        <w:tblW w:type="auto" w:w="0"/>
        <w:jc w:val="center"/>
        <w:tblLook w:firstColumn="1" w:firstRow="1" w:lastColumn="0" w:lastRow="0" w:noHBand="0" w:noVBand="1" w:val="04A0"/>
      </w:tblPr>
      <w:tblGrid>
        <w:gridCol w:w="2890"/>
        <w:gridCol w:w="2890"/>
        <w:gridCol w:w="2890"/>
      </w:tblGrid>
      <w:tr>
        <w:tc>
          <w:tcPr>
            <w:tcW w:type="dxa" w:w="2890"/>
            <w:tcMar>
              <w:top w:w="40" w:type="dxa"/>
              <w:bottom w:w="40" w:type="dxa"/>
              <w:left w:w="80" w:type="dxa"/>
              <w:right w:w="80" w:type="dxa"/>
            </w:tcMar>
            <w:shd w:fill="1F497D"/>
          </w:tcPr>
          <w:p>
            <w:r>
              <w:rPr>
                <w:b/>
                <w:color w:val="FFFFFF"/>
                <w:sz w:val="20"/>
              </w:rPr>
              <w:t>CHAPTER NO</w:t>
            </w:r>
          </w:p>
        </w:tc>
        <w:tc>
          <w:tcPr>
            <w:tcW w:type="dxa" w:w="2890"/>
            <w:tcMar>
              <w:top w:w="40" w:type="dxa"/>
              <w:bottom w:w="40" w:type="dxa"/>
              <w:left w:w="80" w:type="dxa"/>
              <w:right w:w="80" w:type="dxa"/>
            </w:tcMar>
            <w:shd w:fill="1F497D"/>
          </w:tcPr>
          <w:p>
            <w:r>
              <w:rPr>
                <w:b/>
                <w:color w:val="FFFFFF"/>
                <w:sz w:val="20"/>
              </w:rPr>
              <w:t>TITLE</w:t>
            </w:r>
          </w:p>
        </w:tc>
        <w:tc>
          <w:tcPr>
            <w:tcW w:type="dxa" w:w="2890"/>
            <w:tcMar>
              <w:top w:w="40" w:type="dxa"/>
              <w:bottom w:w="40" w:type="dxa"/>
              <w:left w:w="80" w:type="dxa"/>
              <w:right w:w="80" w:type="dxa"/>
            </w:tcMar>
            <w:shd w:fill="1F497D"/>
          </w:tcPr>
          <w:p>
            <w:pPr>
              <w:jc w:val="right"/>
            </w:pPr>
            <w:r>
              <w:rPr>
                <w:b/>
                <w:color w:val="FFFFFF"/>
                <w:sz w:val="20"/>
              </w:rPr>
              <w:t>PAGE NO</w:t>
            </w:r>
          </w:p>
        </w:tc>
      </w:tr>
      <w:tr>
        <w:tc>
          <w:tcPr>
            <w:tcW w:type="dxa" w:w="2890"/>
            <w:tcMar>
              <w:top w:w="40" w:type="dxa"/>
              <w:bottom w:w="40" w:type="dxa"/>
              <w:left w:w="80" w:type="dxa"/>
              <w:right w:w="80" w:type="dxa"/>
            </w:tcMar>
          </w:tcPr>
          <w:p>
            <w:r>
              <w:rPr>
                <w:b/>
                <w:sz w:val="19"/>
              </w:rPr>
            </w:r>
          </w:p>
        </w:tc>
        <w:tc>
          <w:tcPr>
            <w:tcW w:type="dxa" w:w="2890"/>
            <w:tcMar>
              <w:top w:w="40" w:type="dxa"/>
              <w:bottom w:w="40" w:type="dxa"/>
              <w:left w:w="80" w:type="dxa"/>
              <w:right w:w="80" w:type="dxa"/>
            </w:tcMar>
          </w:tcPr>
          <w:p>
            <w:r>
              <w:rPr>
                <w:b/>
                <w:sz w:val="19"/>
              </w:rPr>
              <w:t>ABSTRACT</w:t>
            </w:r>
          </w:p>
        </w:tc>
        <w:tc>
          <w:tcPr>
            <w:tcW w:type="dxa" w:w="2890"/>
            <w:tcMar>
              <w:top w:w="40" w:type="dxa"/>
              <w:bottom w:w="40" w:type="dxa"/>
              <w:left w:w="80" w:type="dxa"/>
              <w:right w:w="80" w:type="dxa"/>
            </w:tcMar>
          </w:tcPr>
          <w:p>
            <w:pPr>
              <w:jc w:val="right"/>
            </w:pPr>
            <w:r>
              <w:rPr>
                <w:b/>
                <w:sz w:val="19"/>
              </w:rPr>
              <w:t>v</w:t>
            </w:r>
          </w:p>
        </w:tc>
      </w:tr>
      <w:tr>
        <w:tc>
          <w:tcPr>
            <w:tcW w:type="dxa" w:w="2890"/>
            <w:tcMar>
              <w:top w:w="40" w:type="dxa"/>
              <w:bottom w:w="40" w:type="dxa"/>
              <w:left w:w="80" w:type="dxa"/>
              <w:right w:w="80" w:type="dxa"/>
            </w:tcMar>
          </w:tcPr>
          <w:p>
            <w:r>
              <w:rPr>
                <w:b/>
                <w:sz w:val="19"/>
              </w:rPr>
            </w:r>
          </w:p>
        </w:tc>
        <w:tc>
          <w:tcPr>
            <w:tcW w:type="dxa" w:w="2890"/>
            <w:tcMar>
              <w:top w:w="40" w:type="dxa"/>
              <w:bottom w:w="40" w:type="dxa"/>
              <w:left w:w="80" w:type="dxa"/>
              <w:right w:w="80" w:type="dxa"/>
            </w:tcMar>
          </w:tcPr>
          <w:p>
            <w:r>
              <w:rPr>
                <w:b/>
                <w:sz w:val="19"/>
              </w:rPr>
              <w:t>TABLE OF CONTENTS</w:t>
            </w:r>
          </w:p>
        </w:tc>
        <w:tc>
          <w:tcPr>
            <w:tcW w:type="dxa" w:w="2890"/>
            <w:tcMar>
              <w:top w:w="40" w:type="dxa"/>
              <w:bottom w:w="40" w:type="dxa"/>
              <w:left w:w="80" w:type="dxa"/>
              <w:right w:w="80" w:type="dxa"/>
            </w:tcMar>
          </w:tcPr>
          <w:p>
            <w:pPr>
              <w:jc w:val="right"/>
            </w:pPr>
            <w:r>
              <w:rPr>
                <w:b/>
                <w:sz w:val="19"/>
              </w:rPr>
              <w:t>vi</w:t>
            </w:r>
          </w:p>
        </w:tc>
      </w:tr>
      <w:tr>
        <w:tc>
          <w:tcPr>
            <w:tcW w:type="dxa" w:w="2890"/>
            <w:tcMar>
              <w:top w:w="40" w:type="dxa"/>
              <w:bottom w:w="40" w:type="dxa"/>
              <w:left w:w="80" w:type="dxa"/>
              <w:right w:w="80" w:type="dxa"/>
            </w:tcMar>
          </w:tcPr>
          <w:p>
            <w:r>
              <w:rPr>
                <w:b/>
                <w:sz w:val="19"/>
              </w:rPr>
            </w:r>
          </w:p>
        </w:tc>
        <w:tc>
          <w:tcPr>
            <w:tcW w:type="dxa" w:w="2890"/>
            <w:tcMar>
              <w:top w:w="40" w:type="dxa"/>
              <w:bottom w:w="40" w:type="dxa"/>
              <w:left w:w="80" w:type="dxa"/>
              <w:right w:w="80" w:type="dxa"/>
            </w:tcMar>
          </w:tcPr>
          <w:p>
            <w:r>
              <w:rPr>
                <w:b/>
                <w:sz w:val="19"/>
              </w:rPr>
              <w:t>LIST OF FIGURES</w:t>
            </w:r>
          </w:p>
        </w:tc>
        <w:tc>
          <w:tcPr>
            <w:tcW w:type="dxa" w:w="2890"/>
            <w:tcMar>
              <w:top w:w="40" w:type="dxa"/>
              <w:bottom w:w="40" w:type="dxa"/>
              <w:left w:w="80" w:type="dxa"/>
              <w:right w:w="80" w:type="dxa"/>
            </w:tcMar>
          </w:tcPr>
          <w:p>
            <w:pPr>
              <w:jc w:val="right"/>
            </w:pPr>
            <w:r>
              <w:rPr>
                <w:b/>
                <w:sz w:val="19"/>
              </w:rPr>
              <w:t>viii</w:t>
            </w:r>
          </w:p>
        </w:tc>
      </w:tr>
      <w:tr>
        <w:tc>
          <w:tcPr>
            <w:tcW w:type="dxa" w:w="2890"/>
            <w:tcMar>
              <w:top w:w="40" w:type="dxa"/>
              <w:bottom w:w="40" w:type="dxa"/>
              <w:left w:w="80" w:type="dxa"/>
              <w:right w:w="80" w:type="dxa"/>
            </w:tcMar>
          </w:tcPr>
          <w:p>
            <w:r>
              <w:rPr>
                <w:b/>
                <w:sz w:val="19"/>
              </w:rPr>
            </w:r>
          </w:p>
        </w:tc>
        <w:tc>
          <w:tcPr>
            <w:tcW w:type="dxa" w:w="2890"/>
            <w:tcMar>
              <w:top w:w="40" w:type="dxa"/>
              <w:bottom w:w="40" w:type="dxa"/>
              <w:left w:w="80" w:type="dxa"/>
              <w:right w:w="80" w:type="dxa"/>
            </w:tcMar>
          </w:tcPr>
          <w:p>
            <w:r>
              <w:rPr>
                <w:b/>
                <w:sz w:val="19"/>
              </w:rPr>
              <w:t>LIST OF TABLES</w:t>
            </w:r>
          </w:p>
        </w:tc>
        <w:tc>
          <w:tcPr>
            <w:tcW w:type="dxa" w:w="2890"/>
            <w:tcMar>
              <w:top w:w="40" w:type="dxa"/>
              <w:bottom w:w="40" w:type="dxa"/>
              <w:left w:w="80" w:type="dxa"/>
              <w:right w:w="80" w:type="dxa"/>
            </w:tcMar>
          </w:tcPr>
          <w:p>
            <w:pPr>
              <w:jc w:val="right"/>
            </w:pPr>
            <w:r>
              <w:rPr>
                <w:b/>
                <w:sz w:val="19"/>
              </w:rPr>
              <w:t>ix</w:t>
            </w:r>
          </w:p>
        </w:tc>
      </w:tr>
      <w:tr>
        <w:tc>
          <w:tcPr>
            <w:tcW w:type="dxa" w:w="2890"/>
            <w:tcMar>
              <w:top w:w="40" w:type="dxa"/>
              <w:bottom w:w="40" w:type="dxa"/>
              <w:left w:w="80" w:type="dxa"/>
              <w:right w:w="80" w:type="dxa"/>
            </w:tcMar>
          </w:tcPr>
          <w:p>
            <w:r>
              <w:rPr>
                <w:b/>
                <w:sz w:val="19"/>
              </w:rPr>
            </w:r>
          </w:p>
        </w:tc>
        <w:tc>
          <w:tcPr>
            <w:tcW w:type="dxa" w:w="2890"/>
            <w:tcMar>
              <w:top w:w="40" w:type="dxa"/>
              <w:bottom w:w="40" w:type="dxa"/>
              <w:left w:w="80" w:type="dxa"/>
              <w:right w:w="80" w:type="dxa"/>
            </w:tcMar>
          </w:tcPr>
          <w:p>
            <w:r>
              <w:rPr>
                <w:b/>
                <w:sz w:val="19"/>
              </w:rPr>
              <w:t>ABBREVIATIONS</w:t>
            </w:r>
          </w:p>
        </w:tc>
        <w:tc>
          <w:tcPr>
            <w:tcW w:type="dxa" w:w="2890"/>
            <w:tcMar>
              <w:top w:w="40" w:type="dxa"/>
              <w:bottom w:w="40" w:type="dxa"/>
              <w:left w:w="80" w:type="dxa"/>
              <w:right w:w="80" w:type="dxa"/>
            </w:tcMar>
          </w:tcPr>
          <w:p>
            <w:pPr>
              <w:jc w:val="right"/>
            </w:pPr>
            <w:r>
              <w:rPr>
                <w:b/>
                <w:sz w:val="19"/>
              </w:rPr>
              <w:t>x</w:t>
            </w:r>
          </w:p>
        </w:tc>
      </w:tr>
      <w:tr>
        <w:tc>
          <w:tcPr>
            <w:tcW w:type="dxa" w:w="2890"/>
            <w:tcMar>
              <w:top w:w="40" w:type="dxa"/>
              <w:bottom w:w="40" w:type="dxa"/>
              <w:left w:w="80" w:type="dxa"/>
              <w:right w:w="80" w:type="dxa"/>
            </w:tcMar>
          </w:tcPr>
          <w:p>
            <w:r>
              <w:rPr>
                <w:b/>
                <w:sz w:val="19"/>
              </w:rPr>
              <w:t>1.</w:t>
            </w:r>
          </w:p>
        </w:tc>
        <w:tc>
          <w:tcPr>
            <w:tcW w:type="dxa" w:w="2890"/>
            <w:tcMar>
              <w:top w:w="40" w:type="dxa"/>
              <w:bottom w:w="40" w:type="dxa"/>
              <w:left w:w="80" w:type="dxa"/>
              <w:right w:w="80" w:type="dxa"/>
            </w:tcMar>
          </w:tcPr>
          <w:p>
            <w:r>
              <w:rPr>
                <w:b/>
                <w:sz w:val="19"/>
              </w:rPr>
              <w:t>INTRODUCTION</w:t>
            </w:r>
          </w:p>
        </w:tc>
        <w:tc>
          <w:tcPr>
            <w:tcW w:type="dxa" w:w="2890"/>
            <w:tcMar>
              <w:top w:w="40" w:type="dxa"/>
              <w:bottom w:w="40" w:type="dxa"/>
              <w:left w:w="80" w:type="dxa"/>
              <w:right w:w="80" w:type="dxa"/>
            </w:tcMar>
          </w:tcPr>
          <w:p>
            <w:pPr>
              <w:jc w:val="right"/>
            </w:pPr>
            <w:r>
              <w:rPr>
                <w:b/>
                <w:sz w:val="19"/>
              </w:rPr>
              <w:t>1</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1.1 Background and Motivation</w:t>
            </w:r>
          </w:p>
        </w:tc>
        <w:tc>
          <w:tcPr>
            <w:tcW w:type="dxa" w:w="2890"/>
            <w:tcMar>
              <w:top w:w="40" w:type="dxa"/>
              <w:bottom w:w="40" w:type="dxa"/>
              <w:left w:w="80" w:type="dxa"/>
              <w:right w:w="80" w:type="dxa"/>
            </w:tcMar>
          </w:tcPr>
          <w:p>
            <w:pPr>
              <w:jc w:val="right"/>
            </w:pPr>
            <w:r>
              <w:rPr>
                <w:sz w:val="19"/>
              </w:rPr>
              <w:t>1</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1.2 Scope and Limitations</w:t>
            </w:r>
          </w:p>
        </w:tc>
        <w:tc>
          <w:tcPr>
            <w:tcW w:type="dxa" w:w="2890"/>
            <w:tcMar>
              <w:top w:w="40" w:type="dxa"/>
              <w:bottom w:w="40" w:type="dxa"/>
              <w:left w:w="80" w:type="dxa"/>
              <w:right w:w="80" w:type="dxa"/>
            </w:tcMar>
          </w:tcPr>
          <w:p>
            <w:pPr>
              <w:jc w:val="right"/>
            </w:pPr>
            <w:r>
              <w:rPr>
                <w:sz w:val="19"/>
              </w:rPr>
              <w:t>2</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1.3 Problem Statement</w:t>
            </w:r>
          </w:p>
        </w:tc>
        <w:tc>
          <w:tcPr>
            <w:tcW w:type="dxa" w:w="2890"/>
            <w:tcMar>
              <w:top w:w="40" w:type="dxa"/>
              <w:bottom w:w="40" w:type="dxa"/>
              <w:left w:w="80" w:type="dxa"/>
              <w:right w:w="80" w:type="dxa"/>
            </w:tcMar>
          </w:tcPr>
          <w:p>
            <w:pPr>
              <w:jc w:val="right"/>
            </w:pPr>
            <w:r>
              <w:rPr>
                <w:sz w:val="19"/>
              </w:rPr>
              <w:t>3</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1.4 Motivation</w:t>
            </w:r>
          </w:p>
        </w:tc>
        <w:tc>
          <w:tcPr>
            <w:tcW w:type="dxa" w:w="2890"/>
            <w:tcMar>
              <w:top w:w="40" w:type="dxa"/>
              <w:bottom w:w="40" w:type="dxa"/>
              <w:left w:w="80" w:type="dxa"/>
              <w:right w:w="80" w:type="dxa"/>
            </w:tcMar>
          </w:tcPr>
          <w:p>
            <w:pPr>
              <w:jc w:val="right"/>
            </w:pPr>
            <w:r>
              <w:rPr>
                <w:sz w:val="19"/>
              </w:rPr>
              <w:t>3</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1.5 Methodology Overview</w:t>
            </w:r>
          </w:p>
        </w:tc>
        <w:tc>
          <w:tcPr>
            <w:tcW w:type="dxa" w:w="2890"/>
            <w:tcMar>
              <w:top w:w="40" w:type="dxa"/>
              <w:bottom w:w="40" w:type="dxa"/>
              <w:left w:w="80" w:type="dxa"/>
              <w:right w:w="80" w:type="dxa"/>
            </w:tcMar>
          </w:tcPr>
          <w:p>
            <w:pPr>
              <w:jc w:val="right"/>
            </w:pPr>
            <w:r>
              <w:rPr>
                <w:sz w:val="19"/>
              </w:rPr>
              <w:t>4</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1.6 Organization of the Thesis</w:t>
            </w:r>
          </w:p>
        </w:tc>
        <w:tc>
          <w:tcPr>
            <w:tcW w:type="dxa" w:w="2890"/>
            <w:tcMar>
              <w:top w:w="40" w:type="dxa"/>
              <w:bottom w:w="40" w:type="dxa"/>
              <w:left w:w="80" w:type="dxa"/>
              <w:right w:w="80" w:type="dxa"/>
            </w:tcMar>
          </w:tcPr>
          <w:p>
            <w:pPr>
              <w:jc w:val="right"/>
            </w:pPr>
            <w:r>
              <w:rPr>
                <w:sz w:val="19"/>
              </w:rPr>
              <w:t>5</w:t>
            </w:r>
          </w:p>
        </w:tc>
      </w:tr>
      <w:tr>
        <w:tc>
          <w:tcPr>
            <w:tcW w:type="dxa" w:w="2890"/>
            <w:tcMar>
              <w:top w:w="40" w:type="dxa"/>
              <w:bottom w:w="40" w:type="dxa"/>
              <w:left w:w="80" w:type="dxa"/>
              <w:right w:w="80" w:type="dxa"/>
            </w:tcMar>
          </w:tcPr>
          <w:p>
            <w:r>
              <w:rPr>
                <w:b/>
                <w:sz w:val="19"/>
              </w:rPr>
              <w:t>2.</w:t>
            </w:r>
          </w:p>
        </w:tc>
        <w:tc>
          <w:tcPr>
            <w:tcW w:type="dxa" w:w="2890"/>
            <w:tcMar>
              <w:top w:w="40" w:type="dxa"/>
              <w:bottom w:w="40" w:type="dxa"/>
              <w:left w:w="80" w:type="dxa"/>
              <w:right w:w="80" w:type="dxa"/>
            </w:tcMar>
          </w:tcPr>
          <w:p>
            <w:r>
              <w:rPr>
                <w:b/>
                <w:sz w:val="19"/>
              </w:rPr>
              <w:t>LITERATURE SURVEY</w:t>
            </w:r>
          </w:p>
        </w:tc>
        <w:tc>
          <w:tcPr>
            <w:tcW w:type="dxa" w:w="2890"/>
            <w:tcMar>
              <w:top w:w="40" w:type="dxa"/>
              <w:bottom w:w="40" w:type="dxa"/>
              <w:left w:w="80" w:type="dxa"/>
              <w:right w:w="80" w:type="dxa"/>
            </w:tcMar>
          </w:tcPr>
          <w:p>
            <w:pPr>
              <w:jc w:val="right"/>
            </w:pPr>
            <w:r>
              <w:rPr>
                <w:b/>
                <w:sz w:val="19"/>
              </w:rPr>
              <w:t>6</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2.1 Introduction to Related Work</w:t>
            </w:r>
          </w:p>
        </w:tc>
        <w:tc>
          <w:tcPr>
            <w:tcW w:type="dxa" w:w="2890"/>
            <w:tcMar>
              <w:top w:w="40" w:type="dxa"/>
              <w:bottom w:w="40" w:type="dxa"/>
              <w:left w:w="80" w:type="dxa"/>
              <w:right w:w="80" w:type="dxa"/>
            </w:tcMar>
          </w:tcPr>
          <w:p>
            <w:pPr>
              <w:jc w:val="right"/>
            </w:pPr>
            <w:r>
              <w:rPr>
                <w:sz w:val="19"/>
              </w:rPr>
              <w:t>6</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2.2 Survey of Existing Systems and Approaches</w:t>
            </w:r>
          </w:p>
        </w:tc>
        <w:tc>
          <w:tcPr>
            <w:tcW w:type="dxa" w:w="2890"/>
            <w:tcMar>
              <w:top w:w="40" w:type="dxa"/>
              <w:bottom w:w="40" w:type="dxa"/>
              <w:left w:w="80" w:type="dxa"/>
              <w:right w:w="80" w:type="dxa"/>
            </w:tcMar>
          </w:tcPr>
          <w:p>
            <w:pPr>
              <w:jc w:val="right"/>
            </w:pPr>
            <w:r>
              <w:rPr>
                <w:sz w:val="19"/>
              </w:rPr>
              <w:t>7</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2.3 Synthesis of the Literature</w:t>
            </w:r>
          </w:p>
        </w:tc>
        <w:tc>
          <w:tcPr>
            <w:tcW w:type="dxa" w:w="2890"/>
            <w:tcMar>
              <w:top w:w="40" w:type="dxa"/>
              <w:bottom w:w="40" w:type="dxa"/>
              <w:left w:w="80" w:type="dxa"/>
              <w:right w:w="80" w:type="dxa"/>
            </w:tcMar>
          </w:tcPr>
          <w:p>
            <w:pPr>
              <w:jc w:val="right"/>
            </w:pPr>
            <w:r>
              <w:rPr>
                <w:sz w:val="19"/>
              </w:rPr>
              <w:t>10</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2.4 Relevance to the Proposed Project</w:t>
            </w:r>
          </w:p>
        </w:tc>
        <w:tc>
          <w:tcPr>
            <w:tcW w:type="dxa" w:w="2890"/>
            <w:tcMar>
              <w:top w:w="40" w:type="dxa"/>
              <w:bottom w:w="40" w:type="dxa"/>
              <w:left w:w="80" w:type="dxa"/>
              <w:right w:w="80" w:type="dxa"/>
            </w:tcMar>
          </w:tcPr>
          <w:p>
            <w:pPr>
              <w:jc w:val="right"/>
            </w:pPr>
            <w:r>
              <w:rPr>
                <w:sz w:val="19"/>
              </w:rPr>
              <w:t>11</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2.5 Summary</w:t>
            </w:r>
          </w:p>
        </w:tc>
        <w:tc>
          <w:tcPr>
            <w:tcW w:type="dxa" w:w="2890"/>
            <w:tcMar>
              <w:top w:w="40" w:type="dxa"/>
              <w:bottom w:w="40" w:type="dxa"/>
              <w:left w:w="80" w:type="dxa"/>
              <w:right w:w="80" w:type="dxa"/>
            </w:tcMar>
          </w:tcPr>
          <w:p>
            <w:pPr>
              <w:jc w:val="right"/>
            </w:pPr>
            <w:r>
              <w:rPr>
                <w:sz w:val="19"/>
              </w:rPr>
              <w:t>12</w:t>
            </w:r>
          </w:p>
        </w:tc>
      </w:tr>
      <w:tr>
        <w:tc>
          <w:tcPr>
            <w:tcW w:type="dxa" w:w="2890"/>
            <w:tcMar>
              <w:top w:w="40" w:type="dxa"/>
              <w:bottom w:w="40" w:type="dxa"/>
              <w:left w:w="80" w:type="dxa"/>
              <w:right w:w="80" w:type="dxa"/>
            </w:tcMar>
          </w:tcPr>
          <w:p>
            <w:r>
              <w:rPr>
                <w:b/>
                <w:sz w:val="19"/>
              </w:rPr>
              <w:t>3.</w:t>
            </w:r>
          </w:p>
        </w:tc>
        <w:tc>
          <w:tcPr>
            <w:tcW w:type="dxa" w:w="2890"/>
            <w:tcMar>
              <w:top w:w="40" w:type="dxa"/>
              <w:bottom w:w="40" w:type="dxa"/>
              <w:left w:w="80" w:type="dxa"/>
              <w:right w:w="80" w:type="dxa"/>
            </w:tcMar>
          </w:tcPr>
          <w:p>
            <w:r>
              <w:rPr>
                <w:b/>
                <w:sz w:val="19"/>
              </w:rPr>
              <w:t>RESEARCH GAPS OF EXISTING METHODS</w:t>
            </w:r>
          </w:p>
        </w:tc>
        <w:tc>
          <w:tcPr>
            <w:tcW w:type="dxa" w:w="2890"/>
            <w:tcMar>
              <w:top w:w="40" w:type="dxa"/>
              <w:bottom w:w="40" w:type="dxa"/>
              <w:left w:w="80" w:type="dxa"/>
              <w:right w:w="80" w:type="dxa"/>
            </w:tcMar>
          </w:tcPr>
          <w:p>
            <w:pPr>
              <w:jc w:val="right"/>
            </w:pPr>
            <w:r>
              <w:rPr>
                <w:b/>
                <w:sz w:val="19"/>
              </w:rPr>
              <w:t>13</w:t>
            </w:r>
          </w:p>
        </w:tc>
      </w:tr>
      <w:tr>
        <w:tc>
          <w:tcPr>
            <w:tcW w:type="dxa" w:w="2890"/>
            <w:tcMar>
              <w:top w:w="40" w:type="dxa"/>
              <w:bottom w:w="40" w:type="dxa"/>
              <w:left w:w="80" w:type="dxa"/>
              <w:right w:w="80" w:type="dxa"/>
            </w:tcMar>
          </w:tcPr>
          <w:p>
            <w:r>
              <w:rPr>
                <w:b/>
                <w:sz w:val="19"/>
              </w:rPr>
              <w:t>4.</w:t>
            </w:r>
          </w:p>
        </w:tc>
        <w:tc>
          <w:tcPr>
            <w:tcW w:type="dxa" w:w="2890"/>
            <w:tcMar>
              <w:top w:w="40" w:type="dxa"/>
              <w:bottom w:w="40" w:type="dxa"/>
              <w:left w:w="80" w:type="dxa"/>
              <w:right w:w="80" w:type="dxa"/>
            </w:tcMar>
          </w:tcPr>
          <w:p>
            <w:r>
              <w:rPr>
                <w:b/>
                <w:sz w:val="19"/>
              </w:rPr>
              <w:t>PROPOSED METHODOLOGY</w:t>
            </w:r>
          </w:p>
        </w:tc>
        <w:tc>
          <w:tcPr>
            <w:tcW w:type="dxa" w:w="2890"/>
            <w:tcMar>
              <w:top w:w="40" w:type="dxa"/>
              <w:bottom w:w="40" w:type="dxa"/>
              <w:left w:w="80" w:type="dxa"/>
              <w:right w:w="80" w:type="dxa"/>
            </w:tcMar>
          </w:tcPr>
          <w:p>
            <w:pPr>
              <w:jc w:val="right"/>
            </w:pPr>
            <w:r>
              <w:rPr>
                <w:b/>
                <w:sz w:val="19"/>
              </w:rPr>
              <w:t>15</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3.1 Methodology Outline</w:t>
            </w:r>
          </w:p>
        </w:tc>
        <w:tc>
          <w:tcPr>
            <w:tcW w:type="dxa" w:w="2890"/>
            <w:tcMar>
              <w:top w:w="40" w:type="dxa"/>
              <w:bottom w:w="40" w:type="dxa"/>
              <w:left w:w="80" w:type="dxa"/>
              <w:right w:w="80" w:type="dxa"/>
            </w:tcMar>
          </w:tcPr>
          <w:p>
            <w:pPr>
              <w:jc w:val="right"/>
            </w:pPr>
            <w:r>
              <w:rPr>
                <w:sz w:val="19"/>
              </w:rPr>
              <w:t>15</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3.2 Tools, Technologies, and Platforms Used</w:t>
            </w:r>
          </w:p>
        </w:tc>
        <w:tc>
          <w:tcPr>
            <w:tcW w:type="dxa" w:w="2890"/>
            <w:tcMar>
              <w:top w:w="40" w:type="dxa"/>
              <w:bottom w:w="40" w:type="dxa"/>
              <w:left w:w="80" w:type="dxa"/>
              <w:right w:w="80" w:type="dxa"/>
            </w:tcMar>
          </w:tcPr>
          <w:p>
            <w:pPr>
              <w:jc w:val="right"/>
            </w:pPr>
            <w:r>
              <w:rPr>
                <w:sz w:val="19"/>
              </w:rPr>
              <w:t>16</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3.3 Proposed System Architecture</w:t>
            </w:r>
          </w:p>
        </w:tc>
        <w:tc>
          <w:tcPr>
            <w:tcW w:type="dxa" w:w="2890"/>
            <w:tcMar>
              <w:top w:w="40" w:type="dxa"/>
              <w:bottom w:w="40" w:type="dxa"/>
              <w:left w:w="80" w:type="dxa"/>
              <w:right w:w="80" w:type="dxa"/>
            </w:tcMar>
          </w:tcPr>
          <w:p>
            <w:pPr>
              <w:jc w:val="right"/>
            </w:pPr>
            <w:r>
              <w:rPr>
                <w:sz w:val="19"/>
              </w:rPr>
              <w:t>17</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3.4 Case Data Collection and Preprocessing</w:t>
            </w:r>
          </w:p>
        </w:tc>
        <w:tc>
          <w:tcPr>
            <w:tcW w:type="dxa" w:w="2890"/>
            <w:tcMar>
              <w:top w:w="40" w:type="dxa"/>
              <w:bottom w:w="40" w:type="dxa"/>
              <w:left w:w="80" w:type="dxa"/>
              <w:right w:w="80" w:type="dxa"/>
            </w:tcMar>
          </w:tcPr>
          <w:p>
            <w:pPr>
              <w:jc w:val="right"/>
            </w:pPr>
            <w:r>
              <w:rPr>
                <w:sz w:val="19"/>
              </w:rPr>
              <w:t>19</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3.5 Dataset Description</w:t>
            </w:r>
          </w:p>
        </w:tc>
        <w:tc>
          <w:tcPr>
            <w:tcW w:type="dxa" w:w="2890"/>
            <w:tcMar>
              <w:top w:w="40" w:type="dxa"/>
              <w:bottom w:w="40" w:type="dxa"/>
              <w:left w:w="80" w:type="dxa"/>
              <w:right w:w="80" w:type="dxa"/>
            </w:tcMar>
          </w:tcPr>
          <w:p>
            <w:pPr>
              <w:jc w:val="right"/>
            </w:pPr>
            <w:r>
              <w:rPr>
                <w:sz w:val="19"/>
              </w:rPr>
              <w:t>22</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3.6 Workflow Diagram</w:t>
            </w:r>
          </w:p>
        </w:tc>
        <w:tc>
          <w:tcPr>
            <w:tcW w:type="dxa" w:w="2890"/>
            <w:tcMar>
              <w:top w:w="40" w:type="dxa"/>
              <w:bottom w:w="40" w:type="dxa"/>
              <w:left w:w="80" w:type="dxa"/>
              <w:right w:w="80" w:type="dxa"/>
            </w:tcMar>
          </w:tcPr>
          <w:p>
            <w:pPr>
              <w:jc w:val="right"/>
            </w:pPr>
            <w:r>
              <w:rPr>
                <w:sz w:val="19"/>
              </w:rPr>
              <w:t>24</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3.7 Summary</w:t>
            </w:r>
          </w:p>
        </w:tc>
        <w:tc>
          <w:tcPr>
            <w:tcW w:type="dxa" w:w="2890"/>
            <w:tcMar>
              <w:top w:w="40" w:type="dxa"/>
              <w:bottom w:w="40" w:type="dxa"/>
              <w:left w:w="80" w:type="dxa"/>
              <w:right w:w="80" w:type="dxa"/>
            </w:tcMar>
          </w:tcPr>
          <w:p>
            <w:pPr>
              <w:jc w:val="right"/>
            </w:pPr>
            <w:r>
              <w:rPr>
                <w:sz w:val="19"/>
              </w:rPr>
              <w:t>25</w:t>
            </w:r>
          </w:p>
        </w:tc>
      </w:tr>
      <w:tr>
        <w:tc>
          <w:tcPr>
            <w:tcW w:type="dxa" w:w="2890"/>
            <w:tcMar>
              <w:top w:w="40" w:type="dxa"/>
              <w:bottom w:w="40" w:type="dxa"/>
              <w:left w:w="80" w:type="dxa"/>
              <w:right w:w="80" w:type="dxa"/>
            </w:tcMar>
          </w:tcPr>
          <w:p>
            <w:r>
              <w:rPr>
                <w:b/>
                <w:sz w:val="19"/>
              </w:rPr>
              <w:t>5.</w:t>
            </w:r>
          </w:p>
        </w:tc>
        <w:tc>
          <w:tcPr>
            <w:tcW w:type="dxa" w:w="2890"/>
            <w:tcMar>
              <w:top w:w="40" w:type="dxa"/>
              <w:bottom w:w="40" w:type="dxa"/>
              <w:left w:w="80" w:type="dxa"/>
              <w:right w:w="80" w:type="dxa"/>
            </w:tcMar>
          </w:tcPr>
          <w:p>
            <w:r>
              <w:rPr>
                <w:b/>
                <w:sz w:val="19"/>
              </w:rPr>
              <w:t>OBJECTIVES</w:t>
            </w:r>
          </w:p>
        </w:tc>
        <w:tc>
          <w:tcPr>
            <w:tcW w:type="dxa" w:w="2890"/>
            <w:tcMar>
              <w:top w:w="40" w:type="dxa"/>
              <w:bottom w:w="40" w:type="dxa"/>
              <w:left w:w="80" w:type="dxa"/>
              <w:right w:w="80" w:type="dxa"/>
            </w:tcMar>
          </w:tcPr>
          <w:p>
            <w:pPr>
              <w:jc w:val="right"/>
            </w:pPr>
            <w:r>
              <w:rPr>
                <w:b/>
                <w:sz w:val="19"/>
              </w:rPr>
              <w:t>26</w:t>
            </w:r>
          </w:p>
        </w:tc>
      </w:tr>
      <w:tr>
        <w:tc>
          <w:tcPr>
            <w:tcW w:type="dxa" w:w="2890"/>
            <w:tcMar>
              <w:top w:w="40" w:type="dxa"/>
              <w:bottom w:w="40" w:type="dxa"/>
              <w:left w:w="80" w:type="dxa"/>
              <w:right w:w="80" w:type="dxa"/>
            </w:tcMar>
          </w:tcPr>
          <w:p>
            <w:r>
              <w:rPr>
                <w:b/>
                <w:sz w:val="19"/>
              </w:rPr>
              <w:t>6.</w:t>
            </w:r>
          </w:p>
        </w:tc>
        <w:tc>
          <w:tcPr>
            <w:tcW w:type="dxa" w:w="2890"/>
            <w:tcMar>
              <w:top w:w="40" w:type="dxa"/>
              <w:bottom w:w="40" w:type="dxa"/>
              <w:left w:w="80" w:type="dxa"/>
              <w:right w:w="80" w:type="dxa"/>
            </w:tcMar>
          </w:tcPr>
          <w:p>
            <w:r>
              <w:rPr>
                <w:b/>
                <w:sz w:val="19"/>
              </w:rPr>
              <w:t>SYSTEM DESIGN &amp; IMPLEMENTATION</w:t>
            </w:r>
          </w:p>
        </w:tc>
        <w:tc>
          <w:tcPr>
            <w:tcW w:type="dxa" w:w="2890"/>
            <w:tcMar>
              <w:top w:w="40" w:type="dxa"/>
              <w:bottom w:w="40" w:type="dxa"/>
              <w:left w:w="80" w:type="dxa"/>
              <w:right w:w="80" w:type="dxa"/>
            </w:tcMar>
          </w:tcPr>
          <w:p>
            <w:pPr>
              <w:jc w:val="right"/>
            </w:pPr>
            <w:r>
              <w:rPr>
                <w:b/>
                <w:sz w:val="19"/>
              </w:rPr>
              <w:t>28</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4.1 Module-Wise Implementation Details</w:t>
            </w:r>
          </w:p>
        </w:tc>
        <w:tc>
          <w:tcPr>
            <w:tcW w:type="dxa" w:w="2890"/>
            <w:tcMar>
              <w:top w:w="40" w:type="dxa"/>
              <w:bottom w:w="40" w:type="dxa"/>
              <w:left w:w="80" w:type="dxa"/>
              <w:right w:w="80" w:type="dxa"/>
            </w:tcMar>
          </w:tcPr>
          <w:p>
            <w:pPr>
              <w:jc w:val="right"/>
            </w:pPr>
            <w:r>
              <w:rPr>
                <w:sz w:val="19"/>
              </w:rPr>
              <w:t>28</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4.2 Algorithms</w:t>
            </w:r>
          </w:p>
        </w:tc>
        <w:tc>
          <w:tcPr>
            <w:tcW w:type="dxa" w:w="2890"/>
            <w:tcMar>
              <w:top w:w="40" w:type="dxa"/>
              <w:bottom w:w="40" w:type="dxa"/>
              <w:left w:w="80" w:type="dxa"/>
              <w:right w:w="80" w:type="dxa"/>
            </w:tcMar>
          </w:tcPr>
          <w:p>
            <w:pPr>
              <w:jc w:val="right"/>
            </w:pPr>
            <w:r>
              <w:rPr>
                <w:sz w:val="19"/>
              </w:rPr>
              <w:t>32</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4.3 System Visualizations and Interfaces</w:t>
            </w:r>
          </w:p>
        </w:tc>
        <w:tc>
          <w:tcPr>
            <w:tcW w:type="dxa" w:w="2890"/>
            <w:tcMar>
              <w:top w:w="40" w:type="dxa"/>
              <w:bottom w:w="40" w:type="dxa"/>
              <w:left w:w="80" w:type="dxa"/>
              <w:right w:w="80" w:type="dxa"/>
            </w:tcMar>
          </w:tcPr>
          <w:p>
            <w:pPr>
              <w:jc w:val="right"/>
            </w:pPr>
            <w:r>
              <w:rPr>
                <w:sz w:val="19"/>
              </w:rPr>
              <w:t>34</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4.4 Integration of Components</w:t>
            </w:r>
          </w:p>
        </w:tc>
        <w:tc>
          <w:tcPr>
            <w:tcW w:type="dxa" w:w="2890"/>
            <w:tcMar>
              <w:top w:w="40" w:type="dxa"/>
              <w:bottom w:w="40" w:type="dxa"/>
              <w:left w:w="80" w:type="dxa"/>
              <w:right w:w="80" w:type="dxa"/>
            </w:tcMar>
          </w:tcPr>
          <w:p>
            <w:pPr>
              <w:jc w:val="right"/>
            </w:pPr>
            <w:r>
              <w:rPr>
                <w:sz w:val="19"/>
              </w:rPr>
              <w:t>36</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4.5 Summary</w:t>
            </w:r>
          </w:p>
        </w:tc>
        <w:tc>
          <w:tcPr>
            <w:tcW w:type="dxa" w:w="2890"/>
            <w:tcMar>
              <w:top w:w="40" w:type="dxa"/>
              <w:bottom w:w="40" w:type="dxa"/>
              <w:left w:w="80" w:type="dxa"/>
              <w:right w:w="80" w:type="dxa"/>
            </w:tcMar>
          </w:tcPr>
          <w:p>
            <w:pPr>
              <w:jc w:val="right"/>
            </w:pPr>
            <w:r>
              <w:rPr>
                <w:sz w:val="19"/>
              </w:rPr>
              <w:t>37</w:t>
            </w:r>
          </w:p>
        </w:tc>
      </w:tr>
      <w:tr>
        <w:tc>
          <w:tcPr>
            <w:tcW w:type="dxa" w:w="2890"/>
            <w:tcMar>
              <w:top w:w="40" w:type="dxa"/>
              <w:bottom w:w="40" w:type="dxa"/>
              <w:left w:w="80" w:type="dxa"/>
              <w:right w:w="80" w:type="dxa"/>
            </w:tcMar>
          </w:tcPr>
          <w:p>
            <w:r>
              <w:rPr>
                <w:b/>
                <w:sz w:val="19"/>
              </w:rPr>
              <w:t>7.</w:t>
            </w:r>
          </w:p>
        </w:tc>
        <w:tc>
          <w:tcPr>
            <w:tcW w:type="dxa" w:w="2890"/>
            <w:tcMar>
              <w:top w:w="40" w:type="dxa"/>
              <w:bottom w:w="40" w:type="dxa"/>
              <w:left w:w="80" w:type="dxa"/>
              <w:right w:w="80" w:type="dxa"/>
            </w:tcMar>
          </w:tcPr>
          <w:p>
            <w:r>
              <w:rPr>
                <w:b/>
                <w:sz w:val="19"/>
              </w:rPr>
              <w:t>TIMELINE FOR EXECUTION OF PROJECT (GANTT CHART)</w:t>
            </w:r>
          </w:p>
        </w:tc>
        <w:tc>
          <w:tcPr>
            <w:tcW w:type="dxa" w:w="2890"/>
            <w:tcMar>
              <w:top w:w="40" w:type="dxa"/>
              <w:bottom w:w="40" w:type="dxa"/>
              <w:left w:w="80" w:type="dxa"/>
              <w:right w:w="80" w:type="dxa"/>
            </w:tcMar>
          </w:tcPr>
          <w:p>
            <w:pPr>
              <w:jc w:val="right"/>
            </w:pPr>
            <w:r>
              <w:rPr>
                <w:b/>
                <w:sz w:val="19"/>
              </w:rPr>
              <w:t>38</w:t>
            </w:r>
          </w:p>
        </w:tc>
      </w:tr>
      <w:tr>
        <w:tc>
          <w:tcPr>
            <w:tcW w:type="dxa" w:w="2890"/>
            <w:tcMar>
              <w:top w:w="40" w:type="dxa"/>
              <w:bottom w:w="40" w:type="dxa"/>
              <w:left w:w="80" w:type="dxa"/>
              <w:right w:w="80" w:type="dxa"/>
            </w:tcMar>
          </w:tcPr>
          <w:p>
            <w:r>
              <w:rPr>
                <w:b/>
                <w:sz w:val="19"/>
              </w:rPr>
              <w:t>8.</w:t>
            </w:r>
          </w:p>
        </w:tc>
        <w:tc>
          <w:tcPr>
            <w:tcW w:type="dxa" w:w="2890"/>
            <w:tcMar>
              <w:top w:w="40" w:type="dxa"/>
              <w:bottom w:w="40" w:type="dxa"/>
              <w:left w:w="80" w:type="dxa"/>
              <w:right w:w="80" w:type="dxa"/>
            </w:tcMar>
          </w:tcPr>
          <w:p>
            <w:r>
              <w:rPr>
                <w:b/>
                <w:sz w:val="19"/>
              </w:rPr>
              <w:t>OUTCOMES</w:t>
            </w:r>
          </w:p>
        </w:tc>
        <w:tc>
          <w:tcPr>
            <w:tcW w:type="dxa" w:w="2890"/>
            <w:tcMar>
              <w:top w:w="40" w:type="dxa"/>
              <w:bottom w:w="40" w:type="dxa"/>
              <w:left w:w="80" w:type="dxa"/>
              <w:right w:w="80" w:type="dxa"/>
            </w:tcMar>
          </w:tcPr>
          <w:p>
            <w:pPr>
              <w:jc w:val="right"/>
            </w:pPr>
            <w:r>
              <w:rPr>
                <w:b/>
                <w:sz w:val="19"/>
              </w:rPr>
              <w:t>40</w:t>
            </w:r>
          </w:p>
        </w:tc>
      </w:tr>
      <w:tr>
        <w:tc>
          <w:tcPr>
            <w:tcW w:type="dxa" w:w="2890"/>
            <w:tcMar>
              <w:top w:w="40" w:type="dxa"/>
              <w:bottom w:w="40" w:type="dxa"/>
              <w:left w:w="80" w:type="dxa"/>
              <w:right w:w="80" w:type="dxa"/>
            </w:tcMar>
          </w:tcPr>
          <w:p>
            <w:r>
              <w:rPr>
                <w:b/>
                <w:sz w:val="19"/>
              </w:rPr>
              <w:t>9.</w:t>
            </w:r>
          </w:p>
        </w:tc>
        <w:tc>
          <w:tcPr>
            <w:tcW w:type="dxa" w:w="2890"/>
            <w:tcMar>
              <w:top w:w="40" w:type="dxa"/>
              <w:bottom w:w="40" w:type="dxa"/>
              <w:left w:w="80" w:type="dxa"/>
              <w:right w:w="80" w:type="dxa"/>
            </w:tcMar>
          </w:tcPr>
          <w:p>
            <w:r>
              <w:rPr>
                <w:b/>
                <w:sz w:val="19"/>
              </w:rPr>
              <w:t>RESULTS AND DISCUSSION</w:t>
            </w:r>
          </w:p>
        </w:tc>
        <w:tc>
          <w:tcPr>
            <w:tcW w:type="dxa" w:w="2890"/>
            <w:tcMar>
              <w:top w:w="40" w:type="dxa"/>
              <w:bottom w:w="40" w:type="dxa"/>
              <w:left w:w="80" w:type="dxa"/>
              <w:right w:w="80" w:type="dxa"/>
            </w:tcMar>
          </w:tcPr>
          <w:p>
            <w:pPr>
              <w:jc w:val="right"/>
            </w:pPr>
            <w:r>
              <w:rPr>
                <w:b/>
                <w:sz w:val="19"/>
              </w:rPr>
              <w:t>42</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5.1 Experimental Setup and Environment</w:t>
            </w:r>
          </w:p>
        </w:tc>
        <w:tc>
          <w:tcPr>
            <w:tcW w:type="dxa" w:w="2890"/>
            <w:tcMar>
              <w:top w:w="40" w:type="dxa"/>
              <w:bottom w:w="40" w:type="dxa"/>
              <w:left w:w="80" w:type="dxa"/>
              <w:right w:w="80" w:type="dxa"/>
            </w:tcMar>
          </w:tcPr>
          <w:p>
            <w:pPr>
              <w:jc w:val="right"/>
            </w:pPr>
            <w:r>
              <w:rPr>
                <w:sz w:val="19"/>
              </w:rPr>
              <w:t>42</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5.2 Performance Metrics Used</w:t>
            </w:r>
          </w:p>
        </w:tc>
        <w:tc>
          <w:tcPr>
            <w:tcW w:type="dxa" w:w="2890"/>
            <w:tcMar>
              <w:top w:w="40" w:type="dxa"/>
              <w:bottom w:w="40" w:type="dxa"/>
              <w:left w:w="80" w:type="dxa"/>
              <w:right w:w="80" w:type="dxa"/>
            </w:tcMar>
          </w:tcPr>
          <w:p>
            <w:pPr>
              <w:jc w:val="right"/>
            </w:pPr>
            <w:r>
              <w:rPr>
                <w:sz w:val="19"/>
              </w:rPr>
              <w:t>43</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5.3 Comparative Benchmark Results</w:t>
            </w:r>
          </w:p>
        </w:tc>
        <w:tc>
          <w:tcPr>
            <w:tcW w:type="dxa" w:w="2890"/>
            <w:tcMar>
              <w:top w:w="40" w:type="dxa"/>
              <w:bottom w:w="40" w:type="dxa"/>
              <w:left w:w="80" w:type="dxa"/>
              <w:right w:w="80" w:type="dxa"/>
            </w:tcMar>
          </w:tcPr>
          <w:p>
            <w:pPr>
              <w:jc w:val="right"/>
            </w:pPr>
            <w:r>
              <w:rPr>
                <w:sz w:val="19"/>
              </w:rPr>
              <w:t>44</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5.4 Analysis and Interpretation of Results</w:t>
            </w:r>
          </w:p>
        </w:tc>
        <w:tc>
          <w:tcPr>
            <w:tcW w:type="dxa" w:w="2890"/>
            <w:tcMar>
              <w:top w:w="40" w:type="dxa"/>
              <w:bottom w:w="40" w:type="dxa"/>
              <w:left w:w="80" w:type="dxa"/>
              <w:right w:w="80" w:type="dxa"/>
            </w:tcMar>
          </w:tcPr>
          <w:p>
            <w:pPr>
              <w:jc w:val="right"/>
            </w:pPr>
            <w:r>
              <w:rPr>
                <w:sz w:val="19"/>
              </w:rPr>
              <w:t>46</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5.5 Discussion on Outcomes &amp; Feature Attribution</w:t>
            </w:r>
          </w:p>
        </w:tc>
        <w:tc>
          <w:tcPr>
            <w:tcW w:type="dxa" w:w="2890"/>
            <w:tcMar>
              <w:top w:w="40" w:type="dxa"/>
              <w:bottom w:w="40" w:type="dxa"/>
              <w:left w:w="80" w:type="dxa"/>
              <w:right w:w="80" w:type="dxa"/>
            </w:tcMar>
          </w:tcPr>
          <w:p>
            <w:pPr>
              <w:jc w:val="right"/>
            </w:pPr>
            <w:r>
              <w:rPr>
                <w:sz w:val="19"/>
              </w:rPr>
              <w:t>48</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 xml:space="preserve">  5.6 Summary</w:t>
            </w:r>
          </w:p>
        </w:tc>
        <w:tc>
          <w:tcPr>
            <w:tcW w:type="dxa" w:w="2890"/>
            <w:tcMar>
              <w:top w:w="40" w:type="dxa"/>
              <w:bottom w:w="40" w:type="dxa"/>
              <w:left w:w="80" w:type="dxa"/>
              <w:right w:w="80" w:type="dxa"/>
            </w:tcMar>
          </w:tcPr>
          <w:p>
            <w:pPr>
              <w:jc w:val="right"/>
            </w:pPr>
            <w:r>
              <w:rPr>
                <w:sz w:val="19"/>
              </w:rPr>
              <w:t>50</w:t>
            </w:r>
          </w:p>
        </w:tc>
      </w:tr>
      <w:tr>
        <w:tc>
          <w:tcPr>
            <w:tcW w:type="dxa" w:w="2890"/>
            <w:tcMar>
              <w:top w:w="40" w:type="dxa"/>
              <w:bottom w:w="40" w:type="dxa"/>
              <w:left w:w="80" w:type="dxa"/>
              <w:right w:w="80" w:type="dxa"/>
            </w:tcMar>
          </w:tcPr>
          <w:p>
            <w:r>
              <w:rPr>
                <w:b/>
                <w:sz w:val="19"/>
              </w:rPr>
              <w:t>10.</w:t>
            </w:r>
          </w:p>
        </w:tc>
        <w:tc>
          <w:tcPr>
            <w:tcW w:type="dxa" w:w="2890"/>
            <w:tcMar>
              <w:top w:w="40" w:type="dxa"/>
              <w:bottom w:w="40" w:type="dxa"/>
              <w:left w:w="80" w:type="dxa"/>
              <w:right w:w="80" w:type="dxa"/>
            </w:tcMar>
          </w:tcPr>
          <w:p>
            <w:r>
              <w:rPr>
                <w:b/>
                <w:sz w:val="19"/>
              </w:rPr>
              <w:t>CONCLUSION AND FUTURE WORK</w:t>
            </w:r>
          </w:p>
        </w:tc>
        <w:tc>
          <w:tcPr>
            <w:tcW w:type="dxa" w:w="2890"/>
            <w:tcMar>
              <w:top w:w="40" w:type="dxa"/>
              <w:bottom w:w="40" w:type="dxa"/>
              <w:left w:w="80" w:type="dxa"/>
              <w:right w:w="80" w:type="dxa"/>
            </w:tcMar>
          </w:tcPr>
          <w:p>
            <w:pPr>
              <w:jc w:val="right"/>
            </w:pPr>
            <w:r>
              <w:rPr>
                <w:b/>
                <w:sz w:val="19"/>
              </w:rPr>
              <w:t>51</w:t>
            </w:r>
          </w:p>
        </w:tc>
      </w:tr>
      <w:tr>
        <w:tc>
          <w:tcPr>
            <w:tcW w:type="dxa" w:w="2890"/>
            <w:tcMar>
              <w:top w:w="40" w:type="dxa"/>
              <w:bottom w:w="40" w:type="dxa"/>
              <w:left w:w="80" w:type="dxa"/>
              <w:right w:w="80" w:type="dxa"/>
            </w:tcMar>
          </w:tcPr>
          <w:p>
            <w:r>
              <w:rPr>
                <w:b/>
                <w:sz w:val="19"/>
              </w:rPr>
              <w:t>11.</w:t>
            </w:r>
          </w:p>
        </w:tc>
        <w:tc>
          <w:tcPr>
            <w:tcW w:type="dxa" w:w="2890"/>
            <w:tcMar>
              <w:top w:w="40" w:type="dxa"/>
              <w:bottom w:w="40" w:type="dxa"/>
              <w:left w:w="80" w:type="dxa"/>
              <w:right w:w="80" w:type="dxa"/>
            </w:tcMar>
          </w:tcPr>
          <w:p>
            <w:r>
              <w:rPr>
                <w:b/>
                <w:sz w:val="19"/>
              </w:rPr>
              <w:t>REFERENCES</w:t>
            </w:r>
          </w:p>
        </w:tc>
        <w:tc>
          <w:tcPr>
            <w:tcW w:type="dxa" w:w="2890"/>
            <w:tcMar>
              <w:top w:w="40" w:type="dxa"/>
              <w:bottom w:w="40" w:type="dxa"/>
              <w:left w:w="80" w:type="dxa"/>
              <w:right w:w="80" w:type="dxa"/>
            </w:tcMar>
          </w:tcPr>
          <w:p>
            <w:pPr>
              <w:jc w:val="right"/>
            </w:pPr>
            <w:r>
              <w:rPr>
                <w:b/>
                <w:sz w:val="19"/>
              </w:rPr>
              <w:t>54</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APPENDIX A: SYSTEM REQUIREMENTS AND TECHNOLOGIES</w:t>
            </w:r>
          </w:p>
        </w:tc>
        <w:tc>
          <w:tcPr>
            <w:tcW w:type="dxa" w:w="2890"/>
            <w:tcMar>
              <w:top w:w="40" w:type="dxa"/>
              <w:bottom w:w="40" w:type="dxa"/>
              <w:left w:w="80" w:type="dxa"/>
              <w:right w:w="80" w:type="dxa"/>
            </w:tcMar>
          </w:tcPr>
          <w:p>
            <w:pPr>
              <w:jc w:val="right"/>
            </w:pPr>
            <w:r>
              <w:rPr>
                <w:sz w:val="19"/>
              </w:rPr>
              <w:t>57</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APPENDIX B: SCREENSHOTS OF THE IMPLEMENTED SYSTEM</w:t>
            </w:r>
          </w:p>
        </w:tc>
        <w:tc>
          <w:tcPr>
            <w:tcW w:type="dxa" w:w="2890"/>
            <w:tcMar>
              <w:top w:w="40" w:type="dxa"/>
              <w:bottom w:w="40" w:type="dxa"/>
              <w:left w:w="80" w:type="dxa"/>
              <w:right w:w="80" w:type="dxa"/>
            </w:tcMar>
          </w:tcPr>
          <w:p>
            <w:pPr>
              <w:jc w:val="right"/>
            </w:pPr>
            <w:r>
              <w:rPr>
                <w:sz w:val="19"/>
              </w:rPr>
              <w:t>59</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APPENDIX C: SAMPLE TEST CASES AND RESULTS</w:t>
            </w:r>
          </w:p>
        </w:tc>
        <w:tc>
          <w:tcPr>
            <w:tcW w:type="dxa" w:w="2890"/>
            <w:tcMar>
              <w:top w:w="40" w:type="dxa"/>
              <w:bottom w:w="40" w:type="dxa"/>
              <w:left w:w="80" w:type="dxa"/>
              <w:right w:w="80" w:type="dxa"/>
            </w:tcMar>
          </w:tcPr>
          <w:p>
            <w:pPr>
              <w:jc w:val="right"/>
            </w:pPr>
            <w:r>
              <w:rPr>
                <w:sz w:val="19"/>
              </w:rPr>
              <w:t>63</w:t>
            </w:r>
          </w:p>
        </w:tc>
      </w:tr>
      <w:tr>
        <w:tc>
          <w:tcPr>
            <w:tcW w:type="dxa" w:w="2890"/>
            <w:tcMar>
              <w:top w:w="40" w:type="dxa"/>
              <w:bottom w:w="40" w:type="dxa"/>
              <w:left w:w="80" w:type="dxa"/>
              <w:right w:w="80" w:type="dxa"/>
            </w:tcMar>
          </w:tcPr>
          <w:p>
            <w:r>
              <w:rPr>
                <w:sz w:val="19"/>
              </w:rPr>
            </w:r>
          </w:p>
        </w:tc>
        <w:tc>
          <w:tcPr>
            <w:tcW w:type="dxa" w:w="2890"/>
            <w:tcMar>
              <w:top w:w="40" w:type="dxa"/>
              <w:bottom w:w="40" w:type="dxa"/>
              <w:left w:w="80" w:type="dxa"/>
              <w:right w:w="80" w:type="dxa"/>
            </w:tcMar>
          </w:tcPr>
          <w:p>
            <w:r>
              <w:rPr>
                <w:sz w:val="19"/>
              </w:rPr>
              <w:t>APPENDIX D: ENCLOSURES AND SDG MAPPING</w:t>
            </w:r>
          </w:p>
        </w:tc>
        <w:tc>
          <w:tcPr>
            <w:tcW w:type="dxa" w:w="2890"/>
            <w:tcMar>
              <w:top w:w="40" w:type="dxa"/>
              <w:bottom w:w="40" w:type="dxa"/>
              <w:left w:w="80" w:type="dxa"/>
              <w:right w:w="80" w:type="dxa"/>
            </w:tcMar>
          </w:tcPr>
          <w:p>
            <w:pPr>
              <w:jc w:val="right"/>
            </w:pPr>
            <w:r>
              <w:rPr>
                <w:sz w:val="19"/>
              </w:rPr>
              <w:t>65</w:t>
            </w:r>
          </w:p>
        </w:tc>
      </w:tr>
    </w:tbl>
    <w:p>
      <w:r>
        <w:br w:type="page"/>
      </w:r>
    </w:p>
    <w:p>
      <w:pPr>
        <w:spacing w:before="240" w:after="240"/>
        <w:jc w:val="center"/>
      </w:pPr>
      <w:r>
        <w:rPr>
          <w:rFonts w:ascii="Times New Roman" w:hAnsi="Times New Roman"/>
          <w:b/>
          <w:sz w:val="36"/>
        </w:rPr>
        <w:t>LIST OF FIGURES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40" w:type="dxa"/>
              <w:bottom w:w="40" w:type="dxa"/>
              <w:left w:w="60" w:type="dxa"/>
              <w:right w:w="60" w:type="dxa"/>
            </w:tcMar>
            <w:shd w:fill="1F497D"/>
          </w:tcPr>
          <w:p>
            <w:r>
              <w:rPr>
                <w:b/>
                <w:color w:val="FFFFFF"/>
                <w:sz w:val="20"/>
              </w:rPr>
              <w:t>Sl. No.</w:t>
            </w:r>
          </w:p>
        </w:tc>
        <w:tc>
          <w:tcPr>
            <w:tcW w:type="dxa" w:w="2167"/>
            <w:tcMar>
              <w:top w:w="40" w:type="dxa"/>
              <w:bottom w:w="40" w:type="dxa"/>
              <w:left w:w="60" w:type="dxa"/>
              <w:right w:w="60" w:type="dxa"/>
            </w:tcMar>
            <w:shd w:fill="1F497D"/>
          </w:tcPr>
          <w:p>
            <w:r>
              <w:rPr>
                <w:b/>
                <w:color w:val="FFFFFF"/>
                <w:sz w:val="20"/>
              </w:rPr>
              <w:t>Figure Name</w:t>
            </w:r>
          </w:p>
        </w:tc>
        <w:tc>
          <w:tcPr>
            <w:tcW w:type="dxa" w:w="2167"/>
            <w:tcMar>
              <w:top w:w="40" w:type="dxa"/>
              <w:bottom w:w="40" w:type="dxa"/>
              <w:left w:w="60" w:type="dxa"/>
              <w:right w:w="60" w:type="dxa"/>
            </w:tcMar>
            <w:shd w:fill="1F497D"/>
          </w:tcPr>
          <w:p>
            <w:r>
              <w:rPr>
                <w:b/>
                <w:color w:val="FFFFFF"/>
                <w:sz w:val="20"/>
              </w:rPr>
              <w:t>Caption</w:t>
            </w:r>
          </w:p>
        </w:tc>
        <w:tc>
          <w:tcPr>
            <w:tcW w:type="dxa" w:w="2167"/>
            <w:tcMar>
              <w:top w:w="40" w:type="dxa"/>
              <w:bottom w:w="40" w:type="dxa"/>
              <w:left w:w="60" w:type="dxa"/>
              <w:right w:w="60" w:type="dxa"/>
            </w:tcMar>
            <w:shd w:fill="1F497D"/>
          </w:tcPr>
          <w:p>
            <w:r>
              <w:rPr>
                <w:b/>
                <w:color w:val="FFFFFF"/>
                <w:sz w:val="20"/>
              </w:rPr>
              <w:t>Page No.</w:t>
            </w:r>
          </w:p>
        </w:tc>
      </w:tr>
      <w:tr>
        <w:tc>
          <w:tcPr>
            <w:tcW w:type="dxa" w:w="2167"/>
            <w:tcMar>
              <w:top w:w="40" w:type="dxa"/>
              <w:bottom w:w="40" w:type="dxa"/>
              <w:left w:w="60" w:type="dxa"/>
              <w:right w:w="60" w:type="dxa"/>
            </w:tcMar>
          </w:tcPr>
          <w:p>
            <w:r>
              <w:rPr>
                <w:sz w:val="19"/>
              </w:rPr>
              <w:t>1</w:t>
            </w:r>
          </w:p>
        </w:tc>
        <w:tc>
          <w:tcPr>
            <w:tcW w:type="dxa" w:w="2167"/>
            <w:tcMar>
              <w:top w:w="40" w:type="dxa"/>
              <w:bottom w:w="40" w:type="dxa"/>
              <w:left w:w="60" w:type="dxa"/>
              <w:right w:w="60" w:type="dxa"/>
            </w:tcMar>
          </w:tcPr>
          <w:p>
            <w:r>
              <w:rPr>
                <w:sz w:val="19"/>
              </w:rPr>
              <w:t>Figure 3.1</w:t>
            </w:r>
          </w:p>
        </w:tc>
        <w:tc>
          <w:tcPr>
            <w:tcW w:type="dxa" w:w="2167"/>
            <w:tcMar>
              <w:top w:w="40" w:type="dxa"/>
              <w:bottom w:w="40" w:type="dxa"/>
              <w:left w:w="60" w:type="dxa"/>
              <w:right w:w="60" w:type="dxa"/>
            </w:tcMar>
          </w:tcPr>
          <w:p>
            <w:r>
              <w:rPr>
                <w:sz w:val="19"/>
              </w:rPr>
              <w:t>Proposed System Architecture Diagram</w:t>
            </w:r>
          </w:p>
        </w:tc>
        <w:tc>
          <w:tcPr>
            <w:tcW w:type="dxa" w:w="2167"/>
            <w:tcMar>
              <w:top w:w="40" w:type="dxa"/>
              <w:bottom w:w="40" w:type="dxa"/>
              <w:left w:w="60" w:type="dxa"/>
              <w:right w:w="60" w:type="dxa"/>
            </w:tcMar>
          </w:tcPr>
          <w:p>
            <w:r>
              <w:rPr>
                <w:sz w:val="19"/>
              </w:rPr>
              <w:t>18</w:t>
            </w:r>
          </w:p>
        </w:tc>
      </w:tr>
      <w:tr>
        <w:tc>
          <w:tcPr>
            <w:tcW w:type="dxa" w:w="2167"/>
            <w:tcMar>
              <w:top w:w="40" w:type="dxa"/>
              <w:bottom w:w="40" w:type="dxa"/>
              <w:left w:w="60" w:type="dxa"/>
              <w:right w:w="60" w:type="dxa"/>
            </w:tcMar>
          </w:tcPr>
          <w:p>
            <w:r>
              <w:rPr>
                <w:sz w:val="19"/>
              </w:rPr>
              <w:t>2</w:t>
            </w:r>
          </w:p>
        </w:tc>
        <w:tc>
          <w:tcPr>
            <w:tcW w:type="dxa" w:w="2167"/>
            <w:tcMar>
              <w:top w:w="40" w:type="dxa"/>
              <w:bottom w:w="40" w:type="dxa"/>
              <w:left w:w="60" w:type="dxa"/>
              <w:right w:w="60" w:type="dxa"/>
            </w:tcMar>
          </w:tcPr>
          <w:p>
            <w:r>
              <w:rPr>
                <w:sz w:val="19"/>
              </w:rPr>
              <w:t>Figure 3.2</w:t>
            </w:r>
          </w:p>
        </w:tc>
        <w:tc>
          <w:tcPr>
            <w:tcW w:type="dxa" w:w="2167"/>
            <w:tcMar>
              <w:top w:w="40" w:type="dxa"/>
              <w:bottom w:w="40" w:type="dxa"/>
              <w:left w:w="60" w:type="dxa"/>
              <w:right w:w="60" w:type="dxa"/>
            </w:tcMar>
          </w:tcPr>
          <w:p>
            <w:r>
              <w:rPr>
                <w:sz w:val="19"/>
              </w:rPr>
              <w:t>Data Preprocessing and Imputation Workflow</w:t>
            </w:r>
          </w:p>
        </w:tc>
        <w:tc>
          <w:tcPr>
            <w:tcW w:type="dxa" w:w="2167"/>
            <w:tcMar>
              <w:top w:w="40" w:type="dxa"/>
              <w:bottom w:w="40" w:type="dxa"/>
              <w:left w:w="60" w:type="dxa"/>
              <w:right w:w="60" w:type="dxa"/>
            </w:tcMar>
          </w:tcPr>
          <w:p>
            <w:r>
              <w:rPr>
                <w:sz w:val="19"/>
              </w:rPr>
              <w:t>21</w:t>
            </w:r>
          </w:p>
        </w:tc>
      </w:tr>
      <w:tr>
        <w:tc>
          <w:tcPr>
            <w:tcW w:type="dxa" w:w="2167"/>
            <w:tcMar>
              <w:top w:w="40" w:type="dxa"/>
              <w:bottom w:w="40" w:type="dxa"/>
              <w:left w:w="60" w:type="dxa"/>
              <w:right w:w="60" w:type="dxa"/>
            </w:tcMar>
          </w:tcPr>
          <w:p>
            <w:r>
              <w:rPr>
                <w:sz w:val="19"/>
              </w:rPr>
              <w:t>3</w:t>
            </w:r>
          </w:p>
        </w:tc>
        <w:tc>
          <w:tcPr>
            <w:tcW w:type="dxa" w:w="2167"/>
            <w:tcMar>
              <w:top w:w="40" w:type="dxa"/>
              <w:bottom w:w="40" w:type="dxa"/>
              <w:left w:w="60" w:type="dxa"/>
              <w:right w:w="60" w:type="dxa"/>
            </w:tcMar>
          </w:tcPr>
          <w:p>
            <w:r>
              <w:rPr>
                <w:sz w:val="19"/>
              </w:rPr>
              <w:t>Figure 3.3</w:t>
            </w:r>
          </w:p>
        </w:tc>
        <w:tc>
          <w:tcPr>
            <w:tcW w:type="dxa" w:w="2167"/>
            <w:tcMar>
              <w:top w:w="40" w:type="dxa"/>
              <w:bottom w:w="40" w:type="dxa"/>
              <w:left w:w="60" w:type="dxa"/>
              <w:right w:w="60" w:type="dxa"/>
            </w:tcMar>
          </w:tcPr>
          <w:p>
            <w:r>
              <w:rPr>
                <w:sz w:val="19"/>
              </w:rPr>
              <w:t>End-to-End Disease Outbreak Risk Prediction Workflow</w:t>
            </w:r>
          </w:p>
        </w:tc>
        <w:tc>
          <w:tcPr>
            <w:tcW w:type="dxa" w:w="2167"/>
            <w:tcMar>
              <w:top w:w="40" w:type="dxa"/>
              <w:bottom w:w="40" w:type="dxa"/>
              <w:left w:w="60" w:type="dxa"/>
              <w:right w:w="60" w:type="dxa"/>
            </w:tcMar>
          </w:tcPr>
          <w:p>
            <w:r>
              <w:rPr>
                <w:sz w:val="19"/>
              </w:rPr>
              <w:t>24</w:t>
            </w:r>
          </w:p>
        </w:tc>
      </w:tr>
      <w:tr>
        <w:tc>
          <w:tcPr>
            <w:tcW w:type="dxa" w:w="2167"/>
            <w:tcMar>
              <w:top w:w="40" w:type="dxa"/>
              <w:bottom w:w="40" w:type="dxa"/>
              <w:left w:w="60" w:type="dxa"/>
              <w:right w:w="60" w:type="dxa"/>
            </w:tcMar>
          </w:tcPr>
          <w:p>
            <w:r>
              <w:rPr>
                <w:sz w:val="19"/>
              </w:rPr>
              <w:t>4</w:t>
            </w:r>
          </w:p>
        </w:tc>
        <w:tc>
          <w:tcPr>
            <w:tcW w:type="dxa" w:w="2167"/>
            <w:tcMar>
              <w:top w:w="40" w:type="dxa"/>
              <w:bottom w:w="40" w:type="dxa"/>
              <w:left w:w="60" w:type="dxa"/>
              <w:right w:w="60" w:type="dxa"/>
            </w:tcMar>
          </w:tcPr>
          <w:p>
            <w:r>
              <w:rPr>
                <w:sz w:val="19"/>
              </w:rPr>
              <w:t>Figure 4.1</w:t>
            </w:r>
          </w:p>
        </w:tc>
        <w:tc>
          <w:tcPr>
            <w:tcW w:type="dxa" w:w="2167"/>
            <w:tcMar>
              <w:top w:w="40" w:type="dxa"/>
              <w:bottom w:w="40" w:type="dxa"/>
              <w:left w:w="60" w:type="dxa"/>
              <w:right w:w="60" w:type="dxa"/>
            </w:tcMar>
          </w:tcPr>
          <w:p>
            <w:r>
              <w:rPr>
                <w:sz w:val="19"/>
              </w:rPr>
              <w:t>Random Forest Gini Impurity Feature Importance Ranking</w:t>
            </w:r>
          </w:p>
        </w:tc>
        <w:tc>
          <w:tcPr>
            <w:tcW w:type="dxa" w:w="2167"/>
            <w:tcMar>
              <w:top w:w="40" w:type="dxa"/>
              <w:bottom w:w="40" w:type="dxa"/>
              <w:left w:w="60" w:type="dxa"/>
              <w:right w:w="60" w:type="dxa"/>
            </w:tcMar>
          </w:tcPr>
          <w:p>
            <w:r>
              <w:rPr>
                <w:sz w:val="19"/>
              </w:rPr>
              <w:t>30</w:t>
            </w:r>
          </w:p>
        </w:tc>
      </w:tr>
      <w:tr>
        <w:tc>
          <w:tcPr>
            <w:tcW w:type="dxa" w:w="2167"/>
            <w:tcMar>
              <w:top w:w="40" w:type="dxa"/>
              <w:bottom w:w="40" w:type="dxa"/>
              <w:left w:w="60" w:type="dxa"/>
              <w:right w:w="60" w:type="dxa"/>
            </w:tcMar>
          </w:tcPr>
          <w:p>
            <w:r>
              <w:rPr>
                <w:sz w:val="19"/>
              </w:rPr>
              <w:t>5</w:t>
            </w:r>
          </w:p>
        </w:tc>
        <w:tc>
          <w:tcPr>
            <w:tcW w:type="dxa" w:w="2167"/>
            <w:tcMar>
              <w:top w:w="40" w:type="dxa"/>
              <w:bottom w:w="40" w:type="dxa"/>
              <w:left w:w="60" w:type="dxa"/>
              <w:right w:w="60" w:type="dxa"/>
            </w:tcMar>
          </w:tcPr>
          <w:p>
            <w:r>
              <w:rPr>
                <w:sz w:val="19"/>
              </w:rPr>
              <w:t>Figure 4.2</w:t>
            </w:r>
          </w:p>
        </w:tc>
        <w:tc>
          <w:tcPr>
            <w:tcW w:type="dxa" w:w="2167"/>
            <w:tcMar>
              <w:top w:w="40" w:type="dxa"/>
              <w:bottom w:w="40" w:type="dxa"/>
              <w:left w:w="60" w:type="dxa"/>
              <w:right w:w="60" w:type="dxa"/>
            </w:tcMar>
          </w:tcPr>
          <w:p>
            <w:r>
              <w:rPr>
                <w:sz w:val="19"/>
              </w:rPr>
              <w:t>Pairwise Pearson Feature Correlation Heatmap</w:t>
            </w:r>
          </w:p>
        </w:tc>
        <w:tc>
          <w:tcPr>
            <w:tcW w:type="dxa" w:w="2167"/>
            <w:tcMar>
              <w:top w:w="40" w:type="dxa"/>
              <w:bottom w:w="40" w:type="dxa"/>
              <w:left w:w="60" w:type="dxa"/>
              <w:right w:w="60" w:type="dxa"/>
            </w:tcMar>
          </w:tcPr>
          <w:p>
            <w:r>
              <w:rPr>
                <w:sz w:val="19"/>
              </w:rPr>
              <w:t>31</w:t>
            </w:r>
          </w:p>
        </w:tc>
      </w:tr>
      <w:tr>
        <w:tc>
          <w:tcPr>
            <w:tcW w:type="dxa" w:w="2167"/>
            <w:tcMar>
              <w:top w:w="40" w:type="dxa"/>
              <w:bottom w:w="40" w:type="dxa"/>
              <w:left w:w="60" w:type="dxa"/>
              <w:right w:w="60" w:type="dxa"/>
            </w:tcMar>
          </w:tcPr>
          <w:p>
            <w:r>
              <w:rPr>
                <w:sz w:val="19"/>
              </w:rPr>
              <w:t>6</w:t>
            </w:r>
          </w:p>
        </w:tc>
        <w:tc>
          <w:tcPr>
            <w:tcW w:type="dxa" w:w="2167"/>
            <w:tcMar>
              <w:top w:w="40" w:type="dxa"/>
              <w:bottom w:w="40" w:type="dxa"/>
              <w:left w:w="60" w:type="dxa"/>
              <w:right w:w="60" w:type="dxa"/>
            </w:tcMar>
          </w:tcPr>
          <w:p>
            <w:r>
              <w:rPr>
                <w:sz w:val="19"/>
              </w:rPr>
              <w:t>Figure 4.3</w:t>
            </w:r>
          </w:p>
        </w:tc>
        <w:tc>
          <w:tcPr>
            <w:tcW w:type="dxa" w:w="2167"/>
            <w:tcMar>
              <w:top w:w="40" w:type="dxa"/>
              <w:bottom w:w="40" w:type="dxa"/>
              <w:left w:w="60" w:type="dxa"/>
              <w:right w:w="60" w:type="dxa"/>
            </w:tcMar>
          </w:tcPr>
          <w:p>
            <w:r>
              <w:rPr>
                <w:sz w:val="19"/>
              </w:rPr>
              <w:t>Normalized Confusion Matrix of the Production Random Forest Model</w:t>
            </w:r>
          </w:p>
        </w:tc>
        <w:tc>
          <w:tcPr>
            <w:tcW w:type="dxa" w:w="2167"/>
            <w:tcMar>
              <w:top w:w="40" w:type="dxa"/>
              <w:bottom w:w="40" w:type="dxa"/>
              <w:left w:w="60" w:type="dxa"/>
              <w:right w:w="60" w:type="dxa"/>
            </w:tcMar>
          </w:tcPr>
          <w:p>
            <w:r>
              <w:rPr>
                <w:sz w:val="19"/>
              </w:rPr>
              <w:t>33</w:t>
            </w:r>
          </w:p>
        </w:tc>
      </w:tr>
      <w:tr>
        <w:tc>
          <w:tcPr>
            <w:tcW w:type="dxa" w:w="2167"/>
            <w:tcMar>
              <w:top w:w="40" w:type="dxa"/>
              <w:bottom w:w="40" w:type="dxa"/>
              <w:left w:w="60" w:type="dxa"/>
              <w:right w:w="60" w:type="dxa"/>
            </w:tcMar>
          </w:tcPr>
          <w:p>
            <w:r>
              <w:rPr>
                <w:sz w:val="19"/>
              </w:rPr>
              <w:t>7</w:t>
            </w:r>
          </w:p>
        </w:tc>
        <w:tc>
          <w:tcPr>
            <w:tcW w:type="dxa" w:w="2167"/>
            <w:tcMar>
              <w:top w:w="40" w:type="dxa"/>
              <w:bottom w:w="40" w:type="dxa"/>
              <w:left w:w="60" w:type="dxa"/>
              <w:right w:w="60" w:type="dxa"/>
            </w:tcMar>
          </w:tcPr>
          <w:p>
            <w:r>
              <w:rPr>
                <w:sz w:val="19"/>
              </w:rPr>
              <w:t>Figure 4.4</w:t>
            </w:r>
          </w:p>
        </w:tc>
        <w:tc>
          <w:tcPr>
            <w:tcW w:type="dxa" w:w="2167"/>
            <w:tcMar>
              <w:top w:w="40" w:type="dxa"/>
              <w:bottom w:w="40" w:type="dxa"/>
              <w:left w:w="60" w:type="dxa"/>
              <w:right w:w="60" w:type="dxa"/>
            </w:tcMar>
          </w:tcPr>
          <w:p>
            <w:r>
              <w:rPr>
                <w:sz w:val="19"/>
              </w:rPr>
              <w:t>Main Dashboard of the Water Quality Risk Prediction Portal (app.py)</w:t>
            </w:r>
          </w:p>
        </w:tc>
        <w:tc>
          <w:tcPr>
            <w:tcW w:type="dxa" w:w="2167"/>
            <w:tcMar>
              <w:top w:w="40" w:type="dxa"/>
              <w:bottom w:w="40" w:type="dxa"/>
              <w:left w:w="60" w:type="dxa"/>
              <w:right w:w="60" w:type="dxa"/>
            </w:tcMar>
          </w:tcPr>
          <w:p>
            <w:r>
              <w:rPr>
                <w:sz w:val="19"/>
              </w:rPr>
              <w:t>35</w:t>
            </w:r>
          </w:p>
        </w:tc>
      </w:tr>
      <w:tr>
        <w:tc>
          <w:tcPr>
            <w:tcW w:type="dxa" w:w="2167"/>
            <w:tcMar>
              <w:top w:w="40" w:type="dxa"/>
              <w:bottom w:w="40" w:type="dxa"/>
              <w:left w:w="60" w:type="dxa"/>
              <w:right w:w="60" w:type="dxa"/>
            </w:tcMar>
          </w:tcPr>
          <w:p>
            <w:r>
              <w:rPr>
                <w:sz w:val="19"/>
              </w:rPr>
              <w:t>8</w:t>
            </w:r>
          </w:p>
        </w:tc>
        <w:tc>
          <w:tcPr>
            <w:tcW w:type="dxa" w:w="2167"/>
            <w:tcMar>
              <w:top w:w="40" w:type="dxa"/>
              <w:bottom w:w="40" w:type="dxa"/>
              <w:left w:w="60" w:type="dxa"/>
              <w:right w:w="60" w:type="dxa"/>
            </w:tcMar>
          </w:tcPr>
          <w:p>
            <w:r>
              <w:rPr>
                <w:sz w:val="19"/>
              </w:rPr>
              <w:t>Figure 4.5</w:t>
            </w:r>
          </w:p>
        </w:tc>
        <w:tc>
          <w:tcPr>
            <w:tcW w:type="dxa" w:w="2167"/>
            <w:tcMar>
              <w:top w:w="40" w:type="dxa"/>
              <w:bottom w:w="40" w:type="dxa"/>
              <w:left w:w="60" w:type="dxa"/>
              <w:right w:w="60" w:type="dxa"/>
            </w:tcMar>
          </w:tcPr>
          <w:p>
            <w:r>
              <w:rPr>
                <w:sz w:val="19"/>
              </w:rPr>
              <w:t>Interactive GIS Outbreak Risk Surveillance Map View</w:t>
            </w:r>
          </w:p>
        </w:tc>
        <w:tc>
          <w:tcPr>
            <w:tcW w:type="dxa" w:w="2167"/>
            <w:tcMar>
              <w:top w:w="40" w:type="dxa"/>
              <w:bottom w:w="40" w:type="dxa"/>
              <w:left w:w="60" w:type="dxa"/>
              <w:right w:w="60" w:type="dxa"/>
            </w:tcMar>
          </w:tcPr>
          <w:p>
            <w:r>
              <w:rPr>
                <w:sz w:val="19"/>
              </w:rPr>
              <w:t>36</w:t>
            </w:r>
          </w:p>
        </w:tc>
      </w:tr>
      <w:tr>
        <w:tc>
          <w:tcPr>
            <w:tcW w:type="dxa" w:w="2167"/>
            <w:tcMar>
              <w:top w:w="40" w:type="dxa"/>
              <w:bottom w:w="40" w:type="dxa"/>
              <w:left w:w="60" w:type="dxa"/>
              <w:right w:w="60" w:type="dxa"/>
            </w:tcMar>
          </w:tcPr>
          <w:p>
            <w:r>
              <w:rPr>
                <w:sz w:val="19"/>
              </w:rPr>
              <w:t>9</w:t>
            </w:r>
          </w:p>
        </w:tc>
        <w:tc>
          <w:tcPr>
            <w:tcW w:type="dxa" w:w="2167"/>
            <w:tcMar>
              <w:top w:w="40" w:type="dxa"/>
              <w:bottom w:w="40" w:type="dxa"/>
              <w:left w:w="60" w:type="dxa"/>
              <w:right w:w="60" w:type="dxa"/>
            </w:tcMar>
          </w:tcPr>
          <w:p>
            <w:r>
              <w:rPr>
                <w:sz w:val="19"/>
              </w:rPr>
              <w:t>Figure 7.1</w:t>
            </w:r>
          </w:p>
        </w:tc>
        <w:tc>
          <w:tcPr>
            <w:tcW w:type="dxa" w:w="2167"/>
            <w:tcMar>
              <w:top w:w="40" w:type="dxa"/>
              <w:bottom w:w="40" w:type="dxa"/>
              <w:left w:w="60" w:type="dxa"/>
              <w:right w:w="60" w:type="dxa"/>
            </w:tcMar>
          </w:tcPr>
          <w:p>
            <w:r>
              <w:rPr>
                <w:sz w:val="19"/>
              </w:rPr>
              <w:t>Gantt Chart for Project Execution (16-Week Progress)</w:t>
            </w:r>
          </w:p>
        </w:tc>
        <w:tc>
          <w:tcPr>
            <w:tcW w:type="dxa" w:w="2167"/>
            <w:tcMar>
              <w:top w:w="40" w:type="dxa"/>
              <w:bottom w:w="40" w:type="dxa"/>
              <w:left w:w="60" w:type="dxa"/>
              <w:right w:w="60" w:type="dxa"/>
            </w:tcMar>
          </w:tcPr>
          <w:p>
            <w:r>
              <w:rPr>
                <w:sz w:val="19"/>
              </w:rPr>
              <w:t>39</w:t>
            </w:r>
          </w:p>
        </w:tc>
      </w:tr>
      <w:tr>
        <w:tc>
          <w:tcPr>
            <w:tcW w:type="dxa" w:w="2167"/>
            <w:tcMar>
              <w:top w:w="40" w:type="dxa"/>
              <w:bottom w:w="40" w:type="dxa"/>
              <w:left w:w="60" w:type="dxa"/>
              <w:right w:w="60" w:type="dxa"/>
            </w:tcMar>
          </w:tcPr>
          <w:p>
            <w:r>
              <w:rPr>
                <w:sz w:val="19"/>
              </w:rPr>
              <w:t>10</w:t>
            </w:r>
          </w:p>
        </w:tc>
        <w:tc>
          <w:tcPr>
            <w:tcW w:type="dxa" w:w="2167"/>
            <w:tcMar>
              <w:top w:w="40" w:type="dxa"/>
              <w:bottom w:w="40" w:type="dxa"/>
              <w:left w:w="60" w:type="dxa"/>
              <w:right w:w="60" w:type="dxa"/>
            </w:tcMar>
          </w:tcPr>
          <w:p>
            <w:r>
              <w:rPr>
                <w:sz w:val="19"/>
              </w:rPr>
              <w:t>Figure 9.1</w:t>
            </w:r>
          </w:p>
        </w:tc>
        <w:tc>
          <w:tcPr>
            <w:tcW w:type="dxa" w:w="2167"/>
            <w:tcMar>
              <w:top w:w="40" w:type="dxa"/>
              <w:bottom w:w="40" w:type="dxa"/>
              <w:left w:w="60" w:type="dxa"/>
              <w:right w:w="60" w:type="dxa"/>
            </w:tcMar>
          </w:tcPr>
          <w:p>
            <w:r>
              <w:rPr>
                <w:sz w:val="19"/>
              </w:rPr>
              <w:t>Receiver Operating Characteristic (ROC) Multi-Model Benchmark</w:t>
            </w:r>
          </w:p>
        </w:tc>
        <w:tc>
          <w:tcPr>
            <w:tcW w:type="dxa" w:w="2167"/>
            <w:tcMar>
              <w:top w:w="40" w:type="dxa"/>
              <w:bottom w:w="40" w:type="dxa"/>
              <w:left w:w="60" w:type="dxa"/>
              <w:right w:w="60" w:type="dxa"/>
            </w:tcMar>
          </w:tcPr>
          <w:p>
            <w:r>
              <w:rPr>
                <w:sz w:val="19"/>
              </w:rPr>
              <w:t>45</w:t>
            </w:r>
          </w:p>
        </w:tc>
      </w:tr>
      <w:tr>
        <w:tc>
          <w:tcPr>
            <w:tcW w:type="dxa" w:w="2167"/>
            <w:tcMar>
              <w:top w:w="40" w:type="dxa"/>
              <w:bottom w:w="40" w:type="dxa"/>
              <w:left w:w="60" w:type="dxa"/>
              <w:right w:w="60" w:type="dxa"/>
            </w:tcMar>
          </w:tcPr>
          <w:p>
            <w:r>
              <w:rPr>
                <w:sz w:val="19"/>
              </w:rPr>
              <w:t>11</w:t>
            </w:r>
          </w:p>
        </w:tc>
        <w:tc>
          <w:tcPr>
            <w:tcW w:type="dxa" w:w="2167"/>
            <w:tcMar>
              <w:top w:w="40" w:type="dxa"/>
              <w:bottom w:w="40" w:type="dxa"/>
              <w:left w:w="60" w:type="dxa"/>
              <w:right w:w="60" w:type="dxa"/>
            </w:tcMar>
          </w:tcPr>
          <w:p>
            <w:r>
              <w:rPr>
                <w:sz w:val="19"/>
              </w:rPr>
              <w:t>Figure B.1</w:t>
            </w:r>
          </w:p>
        </w:tc>
        <w:tc>
          <w:tcPr>
            <w:tcW w:type="dxa" w:w="2167"/>
            <w:tcMar>
              <w:top w:w="40" w:type="dxa"/>
              <w:bottom w:w="40" w:type="dxa"/>
              <w:left w:w="60" w:type="dxa"/>
              <w:right w:w="60" w:type="dxa"/>
            </w:tcMar>
          </w:tcPr>
          <w:p>
            <w:r>
              <w:rPr>
                <w:sz w:val="19"/>
              </w:rPr>
              <w:t>Streamlit Real-Time Risk Calculator Interface</w:t>
            </w:r>
          </w:p>
        </w:tc>
        <w:tc>
          <w:tcPr>
            <w:tcW w:type="dxa" w:w="2167"/>
            <w:tcMar>
              <w:top w:w="40" w:type="dxa"/>
              <w:bottom w:w="40" w:type="dxa"/>
              <w:left w:w="60" w:type="dxa"/>
              <w:right w:w="60" w:type="dxa"/>
            </w:tcMar>
          </w:tcPr>
          <w:p>
            <w:r>
              <w:rPr>
                <w:sz w:val="19"/>
              </w:rPr>
              <w:t>59</w:t>
            </w:r>
          </w:p>
        </w:tc>
      </w:tr>
      <w:tr>
        <w:tc>
          <w:tcPr>
            <w:tcW w:type="dxa" w:w="2167"/>
            <w:tcMar>
              <w:top w:w="40" w:type="dxa"/>
              <w:bottom w:w="40" w:type="dxa"/>
              <w:left w:w="60" w:type="dxa"/>
              <w:right w:w="60" w:type="dxa"/>
            </w:tcMar>
          </w:tcPr>
          <w:p>
            <w:r>
              <w:rPr>
                <w:sz w:val="19"/>
              </w:rPr>
              <w:t>12</w:t>
            </w:r>
          </w:p>
        </w:tc>
        <w:tc>
          <w:tcPr>
            <w:tcW w:type="dxa" w:w="2167"/>
            <w:tcMar>
              <w:top w:w="40" w:type="dxa"/>
              <w:bottom w:w="40" w:type="dxa"/>
              <w:left w:w="60" w:type="dxa"/>
              <w:right w:w="60" w:type="dxa"/>
            </w:tcMar>
          </w:tcPr>
          <w:p>
            <w:r>
              <w:rPr>
                <w:sz w:val="19"/>
              </w:rPr>
              <w:t>Figure B.2</w:t>
            </w:r>
          </w:p>
        </w:tc>
        <w:tc>
          <w:tcPr>
            <w:tcW w:type="dxa" w:w="2167"/>
            <w:tcMar>
              <w:top w:w="40" w:type="dxa"/>
              <w:bottom w:w="40" w:type="dxa"/>
              <w:left w:w="60" w:type="dxa"/>
              <w:right w:w="60" w:type="dxa"/>
            </w:tcMar>
          </w:tcPr>
          <w:p>
            <w:r>
              <w:rPr>
                <w:sz w:val="19"/>
              </w:rPr>
              <w:t>GIS Spatial Surveillance Multi-Layer Bangalore Map</w:t>
            </w:r>
          </w:p>
        </w:tc>
        <w:tc>
          <w:tcPr>
            <w:tcW w:type="dxa" w:w="2167"/>
            <w:tcMar>
              <w:top w:w="40" w:type="dxa"/>
              <w:bottom w:w="40" w:type="dxa"/>
              <w:left w:w="60" w:type="dxa"/>
              <w:right w:w="60" w:type="dxa"/>
            </w:tcMar>
          </w:tcPr>
          <w:p>
            <w:r>
              <w:rPr>
                <w:sz w:val="19"/>
              </w:rPr>
              <w:t>60</w:t>
            </w:r>
          </w:p>
        </w:tc>
      </w:tr>
      <w:tr>
        <w:tc>
          <w:tcPr>
            <w:tcW w:type="dxa" w:w="2167"/>
            <w:tcMar>
              <w:top w:w="40" w:type="dxa"/>
              <w:bottom w:w="40" w:type="dxa"/>
              <w:left w:w="60" w:type="dxa"/>
              <w:right w:w="60" w:type="dxa"/>
            </w:tcMar>
          </w:tcPr>
          <w:p>
            <w:r>
              <w:rPr>
                <w:sz w:val="19"/>
              </w:rPr>
              <w:t>13</w:t>
            </w:r>
          </w:p>
        </w:tc>
        <w:tc>
          <w:tcPr>
            <w:tcW w:type="dxa" w:w="2167"/>
            <w:tcMar>
              <w:top w:w="40" w:type="dxa"/>
              <w:bottom w:w="40" w:type="dxa"/>
              <w:left w:w="60" w:type="dxa"/>
              <w:right w:w="60" w:type="dxa"/>
            </w:tcMar>
          </w:tcPr>
          <w:p>
            <w:r>
              <w:rPr>
                <w:sz w:val="19"/>
              </w:rPr>
              <w:t>Figure B.3</w:t>
            </w:r>
          </w:p>
        </w:tc>
        <w:tc>
          <w:tcPr>
            <w:tcW w:type="dxa" w:w="2167"/>
            <w:tcMar>
              <w:top w:w="40" w:type="dxa"/>
              <w:bottom w:w="40" w:type="dxa"/>
              <w:left w:w="60" w:type="dxa"/>
              <w:right w:w="60" w:type="dxa"/>
            </w:tcMar>
          </w:tcPr>
          <w:p>
            <w:r>
              <w:rPr>
                <w:sz w:val="19"/>
              </w:rPr>
              <w:t>Model Performance Analytics and Evaluation Dashboard</w:t>
            </w:r>
          </w:p>
        </w:tc>
        <w:tc>
          <w:tcPr>
            <w:tcW w:type="dxa" w:w="2167"/>
            <w:tcMar>
              <w:top w:w="40" w:type="dxa"/>
              <w:bottom w:w="40" w:type="dxa"/>
              <w:left w:w="60" w:type="dxa"/>
              <w:right w:w="60" w:type="dxa"/>
            </w:tcMar>
          </w:tcPr>
          <w:p>
            <w:r>
              <w:rPr>
                <w:sz w:val="19"/>
              </w:rPr>
              <w:t>61</w:t>
            </w:r>
          </w:p>
        </w:tc>
      </w:tr>
      <w:tr>
        <w:tc>
          <w:tcPr>
            <w:tcW w:type="dxa" w:w="2167"/>
            <w:tcMar>
              <w:top w:w="40" w:type="dxa"/>
              <w:bottom w:w="40" w:type="dxa"/>
              <w:left w:w="60" w:type="dxa"/>
              <w:right w:w="60" w:type="dxa"/>
            </w:tcMar>
          </w:tcPr>
          <w:p>
            <w:r>
              <w:rPr>
                <w:sz w:val="19"/>
              </w:rPr>
              <w:t>14</w:t>
            </w:r>
          </w:p>
        </w:tc>
        <w:tc>
          <w:tcPr>
            <w:tcW w:type="dxa" w:w="2167"/>
            <w:tcMar>
              <w:top w:w="40" w:type="dxa"/>
              <w:bottom w:w="40" w:type="dxa"/>
              <w:left w:w="60" w:type="dxa"/>
              <w:right w:w="60" w:type="dxa"/>
            </w:tcMar>
          </w:tcPr>
          <w:p>
            <w:r>
              <w:rPr>
                <w:sz w:val="19"/>
              </w:rPr>
              <w:t>Figure B.4</w:t>
            </w:r>
          </w:p>
        </w:tc>
        <w:tc>
          <w:tcPr>
            <w:tcW w:type="dxa" w:w="2167"/>
            <w:tcMar>
              <w:top w:w="40" w:type="dxa"/>
              <w:bottom w:w="40" w:type="dxa"/>
              <w:left w:w="60" w:type="dxa"/>
              <w:right w:w="60" w:type="dxa"/>
            </w:tcMar>
          </w:tcPr>
          <w:p>
            <w:r>
              <w:rPr>
                <w:sz w:val="19"/>
              </w:rPr>
              <w:t>Batch CSV Telemetry Ingestion and Ward Triage View</w:t>
            </w:r>
          </w:p>
        </w:tc>
        <w:tc>
          <w:tcPr>
            <w:tcW w:type="dxa" w:w="2167"/>
            <w:tcMar>
              <w:top w:w="40" w:type="dxa"/>
              <w:bottom w:w="40" w:type="dxa"/>
              <w:left w:w="60" w:type="dxa"/>
              <w:right w:w="60" w:type="dxa"/>
            </w:tcMar>
          </w:tcPr>
          <w:p>
            <w:r>
              <w:rPr>
                <w:sz w:val="19"/>
              </w:rPr>
              <w:t>62</w:t>
            </w:r>
          </w:p>
        </w:tc>
      </w:tr>
    </w:tbl>
    <w:p>
      <w:r>
        <w:br w:type="page"/>
      </w:r>
    </w:p>
    <w:p>
      <w:pPr>
        <w:spacing w:before="240" w:after="240"/>
        <w:jc w:val="center"/>
      </w:pPr>
      <w:r>
        <w:rPr>
          <w:rFonts w:ascii="Times New Roman" w:hAnsi="Times New Roman"/>
          <w:b/>
          <w:sz w:val="36"/>
        </w:rPr>
        <w:t>LIST OF TABLES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40" w:type="dxa"/>
              <w:bottom w:w="40" w:type="dxa"/>
              <w:left w:w="60" w:type="dxa"/>
              <w:right w:w="60" w:type="dxa"/>
            </w:tcMar>
            <w:shd w:fill="1F497D"/>
          </w:tcPr>
          <w:p>
            <w:r>
              <w:rPr>
                <w:b/>
                <w:color w:val="FFFFFF"/>
                <w:sz w:val="20"/>
              </w:rPr>
              <w:t>Sl. No.</w:t>
            </w:r>
          </w:p>
        </w:tc>
        <w:tc>
          <w:tcPr>
            <w:tcW w:type="dxa" w:w="2167"/>
            <w:tcMar>
              <w:top w:w="40" w:type="dxa"/>
              <w:bottom w:w="40" w:type="dxa"/>
              <w:left w:w="60" w:type="dxa"/>
              <w:right w:w="60" w:type="dxa"/>
            </w:tcMar>
            <w:shd w:fill="1F497D"/>
          </w:tcPr>
          <w:p>
            <w:r>
              <w:rPr>
                <w:b/>
                <w:color w:val="FFFFFF"/>
                <w:sz w:val="20"/>
              </w:rPr>
              <w:t>Table Name</w:t>
            </w:r>
          </w:p>
        </w:tc>
        <w:tc>
          <w:tcPr>
            <w:tcW w:type="dxa" w:w="2167"/>
            <w:tcMar>
              <w:top w:w="40" w:type="dxa"/>
              <w:bottom w:w="40" w:type="dxa"/>
              <w:left w:w="60" w:type="dxa"/>
              <w:right w:w="60" w:type="dxa"/>
            </w:tcMar>
            <w:shd w:fill="1F497D"/>
          </w:tcPr>
          <w:p>
            <w:r>
              <w:rPr>
                <w:b/>
                <w:color w:val="FFFFFF"/>
                <w:sz w:val="20"/>
              </w:rPr>
              <w:t>Table Caption</w:t>
            </w:r>
          </w:p>
        </w:tc>
        <w:tc>
          <w:tcPr>
            <w:tcW w:type="dxa" w:w="2167"/>
            <w:tcMar>
              <w:top w:w="40" w:type="dxa"/>
              <w:bottom w:w="40" w:type="dxa"/>
              <w:left w:w="60" w:type="dxa"/>
              <w:right w:w="60" w:type="dxa"/>
            </w:tcMar>
            <w:shd w:fill="1F497D"/>
          </w:tcPr>
          <w:p>
            <w:r>
              <w:rPr>
                <w:b/>
                <w:color w:val="FFFFFF"/>
                <w:sz w:val="20"/>
              </w:rPr>
              <w:t>Page No.</w:t>
            </w:r>
          </w:p>
        </w:tc>
      </w:tr>
      <w:tr>
        <w:tc>
          <w:tcPr>
            <w:tcW w:type="dxa" w:w="2167"/>
            <w:tcMar>
              <w:top w:w="40" w:type="dxa"/>
              <w:bottom w:w="40" w:type="dxa"/>
              <w:left w:w="60" w:type="dxa"/>
              <w:right w:w="60" w:type="dxa"/>
            </w:tcMar>
          </w:tcPr>
          <w:p>
            <w:r>
              <w:rPr>
                <w:sz w:val="19"/>
              </w:rPr>
              <w:t>1</w:t>
            </w:r>
          </w:p>
        </w:tc>
        <w:tc>
          <w:tcPr>
            <w:tcW w:type="dxa" w:w="2167"/>
            <w:tcMar>
              <w:top w:w="40" w:type="dxa"/>
              <w:bottom w:w="40" w:type="dxa"/>
              <w:left w:w="60" w:type="dxa"/>
              <w:right w:w="60" w:type="dxa"/>
            </w:tcMar>
          </w:tcPr>
          <w:p>
            <w:r>
              <w:rPr>
                <w:sz w:val="19"/>
              </w:rPr>
              <w:t>Table 3.1</w:t>
            </w:r>
          </w:p>
        </w:tc>
        <w:tc>
          <w:tcPr>
            <w:tcW w:type="dxa" w:w="2167"/>
            <w:tcMar>
              <w:top w:w="40" w:type="dxa"/>
              <w:bottom w:w="40" w:type="dxa"/>
              <w:left w:w="60" w:type="dxa"/>
              <w:right w:w="60" w:type="dxa"/>
            </w:tcMar>
          </w:tcPr>
          <w:p>
            <w:r>
              <w:rPr>
                <w:sz w:val="19"/>
              </w:rPr>
              <w:t>Physicochemical Water Parameters, Measurement Units &amp; Health Thresholds</w:t>
            </w:r>
          </w:p>
        </w:tc>
        <w:tc>
          <w:tcPr>
            <w:tcW w:type="dxa" w:w="2167"/>
            <w:tcMar>
              <w:top w:w="40" w:type="dxa"/>
              <w:bottom w:w="40" w:type="dxa"/>
              <w:left w:w="60" w:type="dxa"/>
              <w:right w:w="60" w:type="dxa"/>
            </w:tcMar>
          </w:tcPr>
          <w:p>
            <w:r>
              <w:rPr>
                <w:sz w:val="19"/>
              </w:rPr>
              <w:t>20</w:t>
            </w:r>
          </w:p>
        </w:tc>
      </w:tr>
      <w:tr>
        <w:tc>
          <w:tcPr>
            <w:tcW w:type="dxa" w:w="2167"/>
            <w:tcMar>
              <w:top w:w="40" w:type="dxa"/>
              <w:bottom w:w="40" w:type="dxa"/>
              <w:left w:w="60" w:type="dxa"/>
              <w:right w:w="60" w:type="dxa"/>
            </w:tcMar>
          </w:tcPr>
          <w:p>
            <w:r>
              <w:rPr>
                <w:sz w:val="19"/>
              </w:rPr>
              <w:t>2</w:t>
            </w:r>
          </w:p>
        </w:tc>
        <w:tc>
          <w:tcPr>
            <w:tcW w:type="dxa" w:w="2167"/>
            <w:tcMar>
              <w:top w:w="40" w:type="dxa"/>
              <w:bottom w:w="40" w:type="dxa"/>
              <w:left w:w="60" w:type="dxa"/>
              <w:right w:w="60" w:type="dxa"/>
            </w:tcMar>
          </w:tcPr>
          <w:p>
            <w:r>
              <w:rPr>
                <w:sz w:val="19"/>
              </w:rPr>
              <w:t>Table 4.1</w:t>
            </w:r>
          </w:p>
        </w:tc>
        <w:tc>
          <w:tcPr>
            <w:tcW w:type="dxa" w:w="2167"/>
            <w:tcMar>
              <w:top w:w="40" w:type="dxa"/>
              <w:bottom w:w="40" w:type="dxa"/>
              <w:left w:w="60" w:type="dxa"/>
              <w:right w:w="60" w:type="dxa"/>
            </w:tcMar>
          </w:tcPr>
          <w:p>
            <w:r>
              <w:rPr>
                <w:sz w:val="19"/>
              </w:rPr>
              <w:t>Missing Telemetry Value Imputation Summary (Zero Record Attrition)</w:t>
            </w:r>
          </w:p>
        </w:tc>
        <w:tc>
          <w:tcPr>
            <w:tcW w:type="dxa" w:w="2167"/>
            <w:tcMar>
              <w:top w:w="40" w:type="dxa"/>
              <w:bottom w:w="40" w:type="dxa"/>
              <w:left w:w="60" w:type="dxa"/>
              <w:right w:w="60" w:type="dxa"/>
            </w:tcMar>
          </w:tcPr>
          <w:p>
            <w:r>
              <w:rPr>
                <w:sz w:val="19"/>
              </w:rPr>
              <w:t>22</w:t>
            </w:r>
          </w:p>
        </w:tc>
      </w:tr>
      <w:tr>
        <w:tc>
          <w:tcPr>
            <w:tcW w:type="dxa" w:w="2167"/>
            <w:tcMar>
              <w:top w:w="40" w:type="dxa"/>
              <w:bottom w:w="40" w:type="dxa"/>
              <w:left w:w="60" w:type="dxa"/>
              <w:right w:w="60" w:type="dxa"/>
            </w:tcMar>
          </w:tcPr>
          <w:p>
            <w:r>
              <w:rPr>
                <w:sz w:val="19"/>
              </w:rPr>
              <w:t>3</w:t>
            </w:r>
          </w:p>
        </w:tc>
        <w:tc>
          <w:tcPr>
            <w:tcW w:type="dxa" w:w="2167"/>
            <w:tcMar>
              <w:top w:w="40" w:type="dxa"/>
              <w:bottom w:w="40" w:type="dxa"/>
              <w:left w:w="60" w:type="dxa"/>
              <w:right w:w="60" w:type="dxa"/>
            </w:tcMar>
          </w:tcPr>
          <w:p>
            <w:r>
              <w:rPr>
                <w:sz w:val="19"/>
              </w:rPr>
              <w:t>Table 5.1</w:t>
            </w:r>
          </w:p>
        </w:tc>
        <w:tc>
          <w:tcPr>
            <w:tcW w:type="dxa" w:w="2167"/>
            <w:tcMar>
              <w:top w:w="40" w:type="dxa"/>
              <w:bottom w:w="40" w:type="dxa"/>
              <w:left w:w="60" w:type="dxa"/>
              <w:right w:w="60" w:type="dxa"/>
            </w:tcMar>
          </w:tcPr>
          <w:p>
            <w:r>
              <w:rPr>
                <w:sz w:val="19"/>
              </w:rPr>
              <w:t>Qualitative Comparison: Conventional Surveillance vs Proposed ML-GIS Platform</w:t>
            </w:r>
          </w:p>
        </w:tc>
        <w:tc>
          <w:tcPr>
            <w:tcW w:type="dxa" w:w="2167"/>
            <w:tcMar>
              <w:top w:w="40" w:type="dxa"/>
              <w:bottom w:w="40" w:type="dxa"/>
              <w:left w:w="60" w:type="dxa"/>
              <w:right w:w="60" w:type="dxa"/>
            </w:tcMar>
          </w:tcPr>
          <w:p>
            <w:r>
              <w:rPr>
                <w:sz w:val="19"/>
              </w:rPr>
              <w:t>44</w:t>
            </w:r>
          </w:p>
        </w:tc>
      </w:tr>
      <w:tr>
        <w:tc>
          <w:tcPr>
            <w:tcW w:type="dxa" w:w="2167"/>
            <w:tcMar>
              <w:top w:w="40" w:type="dxa"/>
              <w:bottom w:w="40" w:type="dxa"/>
              <w:left w:w="60" w:type="dxa"/>
              <w:right w:w="60" w:type="dxa"/>
            </w:tcMar>
          </w:tcPr>
          <w:p>
            <w:r>
              <w:rPr>
                <w:sz w:val="19"/>
              </w:rPr>
              <w:t>4</w:t>
            </w:r>
          </w:p>
        </w:tc>
        <w:tc>
          <w:tcPr>
            <w:tcW w:type="dxa" w:w="2167"/>
            <w:tcMar>
              <w:top w:w="40" w:type="dxa"/>
              <w:bottom w:w="40" w:type="dxa"/>
              <w:left w:w="60" w:type="dxa"/>
              <w:right w:w="60" w:type="dxa"/>
            </w:tcMar>
          </w:tcPr>
          <w:p>
            <w:r>
              <w:rPr>
                <w:sz w:val="19"/>
              </w:rPr>
              <w:t>Table 9.1</w:t>
            </w:r>
          </w:p>
        </w:tc>
        <w:tc>
          <w:tcPr>
            <w:tcW w:type="dxa" w:w="2167"/>
            <w:tcMar>
              <w:top w:w="40" w:type="dxa"/>
              <w:bottom w:w="40" w:type="dxa"/>
              <w:left w:w="60" w:type="dxa"/>
              <w:right w:w="60" w:type="dxa"/>
            </w:tcMar>
          </w:tcPr>
          <w:p>
            <w:r>
              <w:rPr>
                <w:sz w:val="19"/>
              </w:rPr>
              <w:t>5-Fold Stratified Cross-Validation Benchmark Performance Across All Models</w:t>
            </w:r>
          </w:p>
        </w:tc>
        <w:tc>
          <w:tcPr>
            <w:tcW w:type="dxa" w:w="2167"/>
            <w:tcMar>
              <w:top w:w="40" w:type="dxa"/>
              <w:bottom w:w="40" w:type="dxa"/>
              <w:left w:w="60" w:type="dxa"/>
              <w:right w:w="60" w:type="dxa"/>
            </w:tcMar>
          </w:tcPr>
          <w:p>
            <w:r>
              <w:rPr>
                <w:sz w:val="19"/>
              </w:rPr>
              <w:t>45</w:t>
            </w:r>
          </w:p>
        </w:tc>
      </w:tr>
      <w:tr>
        <w:tc>
          <w:tcPr>
            <w:tcW w:type="dxa" w:w="2167"/>
            <w:tcMar>
              <w:top w:w="40" w:type="dxa"/>
              <w:bottom w:w="40" w:type="dxa"/>
              <w:left w:w="60" w:type="dxa"/>
              <w:right w:w="60" w:type="dxa"/>
            </w:tcMar>
          </w:tcPr>
          <w:p>
            <w:r>
              <w:rPr>
                <w:sz w:val="19"/>
              </w:rPr>
              <w:t>5</w:t>
            </w:r>
          </w:p>
        </w:tc>
        <w:tc>
          <w:tcPr>
            <w:tcW w:type="dxa" w:w="2167"/>
            <w:tcMar>
              <w:top w:w="40" w:type="dxa"/>
              <w:bottom w:w="40" w:type="dxa"/>
              <w:left w:w="60" w:type="dxa"/>
              <w:right w:w="60" w:type="dxa"/>
            </w:tcMar>
          </w:tcPr>
          <w:p>
            <w:r>
              <w:rPr>
                <w:sz w:val="19"/>
              </w:rPr>
              <w:t>Table C.1</w:t>
            </w:r>
          </w:p>
        </w:tc>
        <w:tc>
          <w:tcPr>
            <w:tcW w:type="dxa" w:w="2167"/>
            <w:tcMar>
              <w:top w:w="40" w:type="dxa"/>
              <w:bottom w:w="40" w:type="dxa"/>
              <w:left w:w="60" w:type="dxa"/>
              <w:right w:w="60" w:type="dxa"/>
            </w:tcMar>
          </w:tcPr>
          <w:p>
            <w:r>
              <w:rPr>
                <w:sz w:val="19"/>
              </w:rPr>
              <w:t>End-to-End System Functional Verification Test Cases (TC-01 to TC-08)</w:t>
            </w:r>
          </w:p>
        </w:tc>
        <w:tc>
          <w:tcPr>
            <w:tcW w:type="dxa" w:w="2167"/>
            <w:tcMar>
              <w:top w:w="40" w:type="dxa"/>
              <w:bottom w:w="40" w:type="dxa"/>
              <w:left w:w="60" w:type="dxa"/>
              <w:right w:w="60" w:type="dxa"/>
            </w:tcMar>
          </w:tcPr>
          <w:p>
            <w:r>
              <w:rPr>
                <w:sz w:val="19"/>
              </w:rPr>
              <w:t>63</w:t>
            </w:r>
          </w:p>
        </w:tc>
      </w:tr>
      <w:tr>
        <w:tc>
          <w:tcPr>
            <w:tcW w:type="dxa" w:w="2167"/>
            <w:tcMar>
              <w:top w:w="40" w:type="dxa"/>
              <w:bottom w:w="40" w:type="dxa"/>
              <w:left w:w="60" w:type="dxa"/>
              <w:right w:w="60" w:type="dxa"/>
            </w:tcMar>
          </w:tcPr>
          <w:p>
            <w:r>
              <w:rPr>
                <w:sz w:val="19"/>
              </w:rPr>
              <w:t>6</w:t>
            </w:r>
          </w:p>
        </w:tc>
        <w:tc>
          <w:tcPr>
            <w:tcW w:type="dxa" w:w="2167"/>
            <w:tcMar>
              <w:top w:w="40" w:type="dxa"/>
              <w:bottom w:w="40" w:type="dxa"/>
              <w:left w:w="60" w:type="dxa"/>
              <w:right w:w="60" w:type="dxa"/>
            </w:tcMar>
          </w:tcPr>
          <w:p>
            <w:r>
              <w:rPr>
                <w:sz w:val="19"/>
              </w:rPr>
              <w:t>Table D.1</w:t>
            </w:r>
          </w:p>
        </w:tc>
        <w:tc>
          <w:tcPr>
            <w:tcW w:type="dxa" w:w="2167"/>
            <w:tcMar>
              <w:top w:w="40" w:type="dxa"/>
              <w:bottom w:w="40" w:type="dxa"/>
              <w:left w:w="60" w:type="dxa"/>
              <w:right w:w="60" w:type="dxa"/>
            </w:tcMar>
          </w:tcPr>
          <w:p>
            <w:r>
              <w:rPr>
                <w:sz w:val="19"/>
              </w:rPr>
              <w:t>Mapping of Project Deliverables to United Nations Sustainable Development Goals</w:t>
            </w:r>
          </w:p>
        </w:tc>
        <w:tc>
          <w:tcPr>
            <w:tcW w:type="dxa" w:w="2167"/>
            <w:tcMar>
              <w:top w:w="40" w:type="dxa"/>
              <w:bottom w:w="40" w:type="dxa"/>
              <w:left w:w="60" w:type="dxa"/>
              <w:right w:w="60" w:type="dxa"/>
            </w:tcMar>
          </w:tcPr>
          <w:p>
            <w:r>
              <w:rPr>
                <w:sz w:val="19"/>
              </w:rPr>
              <w:t>66</w:t>
            </w:r>
          </w:p>
        </w:tc>
      </w:tr>
    </w:tbl>
    <w:p>
      <w:r>
        <w:br w:type="page"/>
      </w:r>
    </w:p>
    <w:p>
      <w:pPr>
        <w:spacing w:before="240" w:after="240"/>
        <w:jc w:val="center"/>
      </w:pPr>
      <w:r>
        <w:rPr>
          <w:rFonts w:ascii="Times New Roman" w:hAnsi="Times New Roman"/>
          <w:b/>
          <w:sz w:val="36"/>
        </w:rPr>
        <w:t>Abbreviations</w:t>
      </w:r>
    </w:p>
    <w:tbl>
      <w:tblPr>
        <w:tblW w:type="auto" w:w="0"/>
        <w:jc w:val="center"/>
        <w:tblLook w:firstColumn="1" w:firstRow="1" w:lastColumn="0" w:lastRow="0" w:noHBand="0" w:noVBand="1" w:val="04A0"/>
      </w:tblPr>
      <w:tblGrid>
        <w:gridCol w:w="4334"/>
        <w:gridCol w:w="4334"/>
      </w:tblGrid>
      <w:tr>
        <w:tc>
          <w:tcPr>
            <w:tcW w:type="dxa" w:w="4334"/>
            <w:shd w:fill="1F497D"/>
            <w:tcMar>
              <w:top w:w="40" w:type="dxa"/>
              <w:bottom w:w="40" w:type="dxa"/>
              <w:left w:w="80" w:type="dxa"/>
              <w:right w:w="80" w:type="dxa"/>
            </w:tcMar>
          </w:tcPr>
          <w:p>
            <w:r>
              <w:rPr>
                <w:b/>
                <w:color w:val="FFFFFF"/>
                <w:sz w:val="20"/>
              </w:rPr>
              <w:t>Abbreviation</w:t>
            </w:r>
          </w:p>
        </w:tc>
        <w:tc>
          <w:tcPr>
            <w:tcW w:type="dxa" w:w="4334"/>
            <w:shd w:fill="1F497D"/>
            <w:tcMar>
              <w:top w:w="40" w:type="dxa"/>
              <w:bottom w:w="40" w:type="dxa"/>
              <w:left w:w="80" w:type="dxa"/>
              <w:right w:w="80" w:type="dxa"/>
            </w:tcMar>
          </w:tcPr>
          <w:p>
            <w:r>
              <w:rPr>
                <w:b/>
                <w:color w:val="FFFFFF"/>
                <w:sz w:val="20"/>
              </w:rPr>
              <w:t>Full Form</w:t>
            </w:r>
          </w:p>
        </w:tc>
      </w:tr>
      <w:tr>
        <w:tc>
          <w:tcPr>
            <w:tcW w:type="dxa" w:w="4334"/>
            <w:tcMar>
              <w:top w:w="35" w:type="dxa"/>
              <w:bottom w:w="35" w:type="dxa"/>
              <w:left w:w="80" w:type="dxa"/>
              <w:right w:w="80" w:type="dxa"/>
            </w:tcMar>
          </w:tcPr>
          <w:p>
            <w:r>
              <w:rPr>
                <w:b/>
                <w:sz w:val="19"/>
              </w:rPr>
              <w:t>AI</w:t>
            </w:r>
          </w:p>
        </w:tc>
        <w:tc>
          <w:tcPr>
            <w:tcW w:type="dxa" w:w="4334"/>
            <w:tcMar>
              <w:top w:w="35" w:type="dxa"/>
              <w:bottom w:w="35" w:type="dxa"/>
              <w:left w:w="80" w:type="dxa"/>
              <w:right w:w="80" w:type="dxa"/>
            </w:tcMar>
          </w:tcPr>
          <w:p>
            <w:r>
              <w:rPr>
                <w:sz w:val="19"/>
              </w:rPr>
              <w:t>Artificial Intelligence</w:t>
            </w:r>
          </w:p>
        </w:tc>
      </w:tr>
      <w:tr>
        <w:tc>
          <w:tcPr>
            <w:tcW w:type="dxa" w:w="4334"/>
            <w:tcMar>
              <w:top w:w="35" w:type="dxa"/>
              <w:bottom w:w="35" w:type="dxa"/>
              <w:left w:w="80" w:type="dxa"/>
              <w:right w:w="80" w:type="dxa"/>
            </w:tcMar>
            <w:shd w:fill="F9FAFB"/>
          </w:tcPr>
          <w:p>
            <w:r>
              <w:rPr>
                <w:b/>
                <w:sz w:val="19"/>
              </w:rPr>
              <w:t>API</w:t>
            </w:r>
          </w:p>
        </w:tc>
        <w:tc>
          <w:tcPr>
            <w:tcW w:type="dxa" w:w="4334"/>
            <w:tcMar>
              <w:top w:w="35" w:type="dxa"/>
              <w:bottom w:w="35" w:type="dxa"/>
              <w:left w:w="80" w:type="dxa"/>
              <w:right w:w="80" w:type="dxa"/>
            </w:tcMar>
            <w:shd w:fill="F9FAFB"/>
          </w:tcPr>
          <w:p>
            <w:r>
              <w:rPr>
                <w:sz w:val="19"/>
              </w:rPr>
              <w:t>Application Programming Interface</w:t>
            </w:r>
          </w:p>
        </w:tc>
      </w:tr>
      <w:tr>
        <w:tc>
          <w:tcPr>
            <w:tcW w:type="dxa" w:w="4334"/>
            <w:tcMar>
              <w:top w:w="35" w:type="dxa"/>
              <w:bottom w:w="35" w:type="dxa"/>
              <w:left w:w="80" w:type="dxa"/>
              <w:right w:w="80" w:type="dxa"/>
            </w:tcMar>
          </w:tcPr>
          <w:p>
            <w:r>
              <w:rPr>
                <w:b/>
                <w:sz w:val="19"/>
              </w:rPr>
              <w:t>AUC-ROC</w:t>
            </w:r>
          </w:p>
        </w:tc>
        <w:tc>
          <w:tcPr>
            <w:tcW w:type="dxa" w:w="4334"/>
            <w:tcMar>
              <w:top w:w="35" w:type="dxa"/>
              <w:bottom w:w="35" w:type="dxa"/>
              <w:left w:w="80" w:type="dxa"/>
              <w:right w:w="80" w:type="dxa"/>
            </w:tcMar>
          </w:tcPr>
          <w:p>
            <w:r>
              <w:rPr>
                <w:sz w:val="19"/>
              </w:rPr>
              <w:t>Area Under Curve - Receiver Operating Characteristic</w:t>
            </w:r>
          </w:p>
        </w:tc>
      </w:tr>
      <w:tr>
        <w:tc>
          <w:tcPr>
            <w:tcW w:type="dxa" w:w="4334"/>
            <w:tcMar>
              <w:top w:w="35" w:type="dxa"/>
              <w:bottom w:w="35" w:type="dxa"/>
              <w:left w:w="80" w:type="dxa"/>
              <w:right w:w="80" w:type="dxa"/>
            </w:tcMar>
            <w:shd w:fill="F9FAFB"/>
          </w:tcPr>
          <w:p>
            <w:r>
              <w:rPr>
                <w:b/>
                <w:sz w:val="19"/>
              </w:rPr>
              <w:t>BBMP</w:t>
            </w:r>
          </w:p>
        </w:tc>
        <w:tc>
          <w:tcPr>
            <w:tcW w:type="dxa" w:w="4334"/>
            <w:tcMar>
              <w:top w:w="35" w:type="dxa"/>
              <w:bottom w:w="35" w:type="dxa"/>
              <w:left w:w="80" w:type="dxa"/>
              <w:right w:w="80" w:type="dxa"/>
            </w:tcMar>
            <w:shd w:fill="F9FAFB"/>
          </w:tcPr>
          <w:p>
            <w:r>
              <w:rPr>
                <w:sz w:val="19"/>
              </w:rPr>
              <w:t>Bruhat Bengaluru Mahanagara Palike</w:t>
            </w:r>
          </w:p>
        </w:tc>
      </w:tr>
      <w:tr>
        <w:tc>
          <w:tcPr>
            <w:tcW w:type="dxa" w:w="4334"/>
            <w:tcMar>
              <w:top w:w="35" w:type="dxa"/>
              <w:bottom w:w="35" w:type="dxa"/>
              <w:left w:w="80" w:type="dxa"/>
              <w:right w:w="80" w:type="dxa"/>
            </w:tcMar>
          </w:tcPr>
          <w:p>
            <w:r>
              <w:rPr>
                <w:b/>
                <w:sz w:val="19"/>
              </w:rPr>
              <w:t>CRI</w:t>
            </w:r>
          </w:p>
        </w:tc>
        <w:tc>
          <w:tcPr>
            <w:tcW w:type="dxa" w:w="4334"/>
            <w:tcMar>
              <w:top w:w="35" w:type="dxa"/>
              <w:bottom w:w="35" w:type="dxa"/>
              <w:left w:w="80" w:type="dxa"/>
              <w:right w:w="80" w:type="dxa"/>
            </w:tcMar>
          </w:tcPr>
          <w:p>
            <w:r>
              <w:rPr>
                <w:sz w:val="19"/>
              </w:rPr>
              <w:t>Contamination Risk Index</w:t>
            </w:r>
          </w:p>
        </w:tc>
      </w:tr>
      <w:tr>
        <w:tc>
          <w:tcPr>
            <w:tcW w:type="dxa" w:w="4334"/>
            <w:tcMar>
              <w:top w:w="35" w:type="dxa"/>
              <w:bottom w:w="35" w:type="dxa"/>
              <w:left w:w="80" w:type="dxa"/>
              <w:right w:w="80" w:type="dxa"/>
            </w:tcMar>
            <w:shd w:fill="F9FAFB"/>
          </w:tcPr>
          <w:p>
            <w:r>
              <w:rPr>
                <w:b/>
                <w:sz w:val="19"/>
              </w:rPr>
              <w:t>CSV</w:t>
            </w:r>
          </w:p>
        </w:tc>
        <w:tc>
          <w:tcPr>
            <w:tcW w:type="dxa" w:w="4334"/>
            <w:tcMar>
              <w:top w:w="35" w:type="dxa"/>
              <w:bottom w:w="35" w:type="dxa"/>
              <w:left w:w="80" w:type="dxa"/>
              <w:right w:w="80" w:type="dxa"/>
            </w:tcMar>
            <w:shd w:fill="F9FAFB"/>
          </w:tcPr>
          <w:p>
            <w:r>
              <w:rPr>
                <w:sz w:val="19"/>
              </w:rPr>
              <w:t>Comma-Separated Values</w:t>
            </w:r>
          </w:p>
        </w:tc>
      </w:tr>
      <w:tr>
        <w:tc>
          <w:tcPr>
            <w:tcW w:type="dxa" w:w="4334"/>
            <w:tcMar>
              <w:top w:w="35" w:type="dxa"/>
              <w:bottom w:w="35" w:type="dxa"/>
              <w:left w:w="80" w:type="dxa"/>
              <w:right w:w="80" w:type="dxa"/>
            </w:tcMar>
          </w:tcPr>
          <w:p>
            <w:r>
              <w:rPr>
                <w:b/>
                <w:sz w:val="19"/>
              </w:rPr>
              <w:t>CV</w:t>
            </w:r>
          </w:p>
        </w:tc>
        <w:tc>
          <w:tcPr>
            <w:tcW w:type="dxa" w:w="4334"/>
            <w:tcMar>
              <w:top w:w="35" w:type="dxa"/>
              <w:bottom w:w="35" w:type="dxa"/>
              <w:left w:w="80" w:type="dxa"/>
              <w:right w:w="80" w:type="dxa"/>
            </w:tcMar>
          </w:tcPr>
          <w:p>
            <w:r>
              <w:rPr>
                <w:sz w:val="19"/>
              </w:rPr>
              <w:t>Cross-Validation</w:t>
            </w:r>
          </w:p>
        </w:tc>
      </w:tr>
      <w:tr>
        <w:tc>
          <w:tcPr>
            <w:tcW w:type="dxa" w:w="4334"/>
            <w:tcMar>
              <w:top w:w="35" w:type="dxa"/>
              <w:bottom w:w="35" w:type="dxa"/>
              <w:left w:w="80" w:type="dxa"/>
              <w:right w:w="80" w:type="dxa"/>
            </w:tcMar>
            <w:shd w:fill="F9FAFB"/>
          </w:tcPr>
          <w:p>
            <w:r>
              <w:rPr>
                <w:b/>
                <w:sz w:val="19"/>
              </w:rPr>
              <w:t>EPA</w:t>
            </w:r>
          </w:p>
        </w:tc>
        <w:tc>
          <w:tcPr>
            <w:tcW w:type="dxa" w:w="4334"/>
            <w:tcMar>
              <w:top w:w="35" w:type="dxa"/>
              <w:bottom w:w="35" w:type="dxa"/>
              <w:left w:w="80" w:type="dxa"/>
              <w:right w:w="80" w:type="dxa"/>
            </w:tcMar>
            <w:shd w:fill="F9FAFB"/>
          </w:tcPr>
          <w:p>
            <w:r>
              <w:rPr>
                <w:sz w:val="19"/>
              </w:rPr>
              <w:t>Environmental Protection Agency (United States)</w:t>
            </w:r>
          </w:p>
        </w:tc>
      </w:tr>
      <w:tr>
        <w:tc>
          <w:tcPr>
            <w:tcW w:type="dxa" w:w="4334"/>
            <w:tcMar>
              <w:top w:w="35" w:type="dxa"/>
              <w:bottom w:w="35" w:type="dxa"/>
              <w:left w:w="80" w:type="dxa"/>
              <w:right w:w="80" w:type="dxa"/>
            </w:tcMar>
          </w:tcPr>
          <w:p>
            <w:r>
              <w:rPr>
                <w:b/>
                <w:sz w:val="19"/>
              </w:rPr>
              <w:t>ET</w:t>
            </w:r>
          </w:p>
        </w:tc>
        <w:tc>
          <w:tcPr>
            <w:tcW w:type="dxa" w:w="4334"/>
            <w:tcMar>
              <w:top w:w="35" w:type="dxa"/>
              <w:bottom w:w="35" w:type="dxa"/>
              <w:left w:w="80" w:type="dxa"/>
              <w:right w:w="80" w:type="dxa"/>
            </w:tcMar>
          </w:tcPr>
          <w:p>
            <w:r>
              <w:rPr>
                <w:sz w:val="19"/>
              </w:rPr>
              <w:t>Extra Trees Classifier</w:t>
            </w:r>
          </w:p>
        </w:tc>
      </w:tr>
      <w:tr>
        <w:tc>
          <w:tcPr>
            <w:tcW w:type="dxa" w:w="4334"/>
            <w:tcMar>
              <w:top w:w="35" w:type="dxa"/>
              <w:bottom w:w="35" w:type="dxa"/>
              <w:left w:w="80" w:type="dxa"/>
              <w:right w:w="80" w:type="dxa"/>
            </w:tcMar>
            <w:shd w:fill="F9FAFB"/>
          </w:tcPr>
          <w:p>
            <w:r>
              <w:rPr>
                <w:b/>
                <w:sz w:val="19"/>
              </w:rPr>
              <w:t>GBDT</w:t>
            </w:r>
          </w:p>
        </w:tc>
        <w:tc>
          <w:tcPr>
            <w:tcW w:type="dxa" w:w="4334"/>
            <w:tcMar>
              <w:top w:w="35" w:type="dxa"/>
              <w:bottom w:w="35" w:type="dxa"/>
              <w:left w:w="80" w:type="dxa"/>
              <w:right w:w="80" w:type="dxa"/>
            </w:tcMar>
            <w:shd w:fill="F9FAFB"/>
          </w:tcPr>
          <w:p>
            <w:r>
              <w:rPr>
                <w:sz w:val="19"/>
              </w:rPr>
              <w:t>Gradient Boosted Decision Trees</w:t>
            </w:r>
          </w:p>
        </w:tc>
      </w:tr>
      <w:tr>
        <w:tc>
          <w:tcPr>
            <w:tcW w:type="dxa" w:w="4334"/>
            <w:tcMar>
              <w:top w:w="35" w:type="dxa"/>
              <w:bottom w:w="35" w:type="dxa"/>
              <w:left w:w="80" w:type="dxa"/>
              <w:right w:w="80" w:type="dxa"/>
            </w:tcMar>
          </w:tcPr>
          <w:p>
            <w:r>
              <w:rPr>
                <w:b/>
                <w:sz w:val="19"/>
              </w:rPr>
              <w:t>GIS</w:t>
            </w:r>
          </w:p>
        </w:tc>
        <w:tc>
          <w:tcPr>
            <w:tcW w:type="dxa" w:w="4334"/>
            <w:tcMar>
              <w:top w:w="35" w:type="dxa"/>
              <w:bottom w:w="35" w:type="dxa"/>
              <w:left w:w="80" w:type="dxa"/>
              <w:right w:w="80" w:type="dxa"/>
            </w:tcMar>
          </w:tcPr>
          <w:p>
            <w:r>
              <w:rPr>
                <w:sz w:val="19"/>
              </w:rPr>
              <w:t>Geographic Information System</w:t>
            </w:r>
          </w:p>
        </w:tc>
      </w:tr>
      <w:tr>
        <w:tc>
          <w:tcPr>
            <w:tcW w:type="dxa" w:w="4334"/>
            <w:tcMar>
              <w:top w:w="35" w:type="dxa"/>
              <w:bottom w:w="35" w:type="dxa"/>
              <w:left w:w="80" w:type="dxa"/>
              <w:right w:w="80" w:type="dxa"/>
            </w:tcMar>
            <w:shd w:fill="F9FAFB"/>
          </w:tcPr>
          <w:p>
            <w:r>
              <w:rPr>
                <w:b/>
                <w:sz w:val="19"/>
              </w:rPr>
              <w:t>GUI</w:t>
            </w:r>
          </w:p>
        </w:tc>
        <w:tc>
          <w:tcPr>
            <w:tcW w:type="dxa" w:w="4334"/>
            <w:tcMar>
              <w:top w:w="35" w:type="dxa"/>
              <w:bottom w:w="35" w:type="dxa"/>
              <w:left w:w="80" w:type="dxa"/>
              <w:right w:w="80" w:type="dxa"/>
            </w:tcMar>
            <w:shd w:fill="F9FAFB"/>
          </w:tcPr>
          <w:p>
            <w:r>
              <w:rPr>
                <w:sz w:val="19"/>
              </w:rPr>
              <w:t>Graphical User Interface</w:t>
            </w:r>
          </w:p>
        </w:tc>
      </w:tr>
      <w:tr>
        <w:tc>
          <w:tcPr>
            <w:tcW w:type="dxa" w:w="4334"/>
            <w:tcMar>
              <w:top w:w="35" w:type="dxa"/>
              <w:bottom w:w="35" w:type="dxa"/>
              <w:left w:w="80" w:type="dxa"/>
              <w:right w:w="80" w:type="dxa"/>
            </w:tcMar>
          </w:tcPr>
          <w:p>
            <w:r>
              <w:rPr>
                <w:b/>
                <w:sz w:val="19"/>
              </w:rPr>
              <w:t>IoT</w:t>
            </w:r>
          </w:p>
        </w:tc>
        <w:tc>
          <w:tcPr>
            <w:tcW w:type="dxa" w:w="4334"/>
            <w:tcMar>
              <w:top w:w="35" w:type="dxa"/>
              <w:bottom w:w="35" w:type="dxa"/>
              <w:left w:w="80" w:type="dxa"/>
              <w:right w:w="80" w:type="dxa"/>
            </w:tcMar>
          </w:tcPr>
          <w:p>
            <w:r>
              <w:rPr>
                <w:sz w:val="19"/>
              </w:rPr>
              <w:t>Internet of Things</w:t>
            </w:r>
          </w:p>
        </w:tc>
      </w:tr>
      <w:tr>
        <w:tc>
          <w:tcPr>
            <w:tcW w:type="dxa" w:w="4334"/>
            <w:tcMar>
              <w:top w:w="35" w:type="dxa"/>
              <w:bottom w:w="35" w:type="dxa"/>
              <w:left w:w="80" w:type="dxa"/>
              <w:right w:w="80" w:type="dxa"/>
            </w:tcMar>
            <w:shd w:fill="F9FAFB"/>
          </w:tcPr>
          <w:p>
            <w:r>
              <w:rPr>
                <w:b/>
                <w:sz w:val="19"/>
              </w:rPr>
              <w:t>JSON</w:t>
            </w:r>
          </w:p>
        </w:tc>
        <w:tc>
          <w:tcPr>
            <w:tcW w:type="dxa" w:w="4334"/>
            <w:tcMar>
              <w:top w:w="35" w:type="dxa"/>
              <w:bottom w:w="35" w:type="dxa"/>
              <w:left w:w="80" w:type="dxa"/>
              <w:right w:w="80" w:type="dxa"/>
            </w:tcMar>
            <w:shd w:fill="F9FAFB"/>
          </w:tcPr>
          <w:p>
            <w:r>
              <w:rPr>
                <w:sz w:val="19"/>
              </w:rPr>
              <w:t>JavaScript Object Notation</w:t>
            </w:r>
          </w:p>
        </w:tc>
      </w:tr>
      <w:tr>
        <w:tc>
          <w:tcPr>
            <w:tcW w:type="dxa" w:w="4334"/>
            <w:tcMar>
              <w:top w:w="35" w:type="dxa"/>
              <w:bottom w:w="35" w:type="dxa"/>
              <w:left w:w="80" w:type="dxa"/>
              <w:right w:w="80" w:type="dxa"/>
            </w:tcMar>
          </w:tcPr>
          <w:p>
            <w:r>
              <w:rPr>
                <w:b/>
                <w:sz w:val="19"/>
              </w:rPr>
              <w:t>KNN</w:t>
            </w:r>
          </w:p>
        </w:tc>
        <w:tc>
          <w:tcPr>
            <w:tcW w:type="dxa" w:w="4334"/>
            <w:tcMar>
              <w:top w:w="35" w:type="dxa"/>
              <w:bottom w:w="35" w:type="dxa"/>
              <w:left w:w="80" w:type="dxa"/>
              <w:right w:w="80" w:type="dxa"/>
            </w:tcMar>
          </w:tcPr>
          <w:p>
            <w:r>
              <w:rPr>
                <w:sz w:val="19"/>
              </w:rPr>
              <w:t>K-Nearest Neighbors</w:t>
            </w:r>
          </w:p>
        </w:tc>
      </w:tr>
      <w:tr>
        <w:tc>
          <w:tcPr>
            <w:tcW w:type="dxa" w:w="4334"/>
            <w:tcMar>
              <w:top w:w="35" w:type="dxa"/>
              <w:bottom w:w="35" w:type="dxa"/>
              <w:left w:w="80" w:type="dxa"/>
              <w:right w:w="80" w:type="dxa"/>
            </w:tcMar>
            <w:shd w:fill="F9FAFB"/>
          </w:tcPr>
          <w:p>
            <w:r>
              <w:rPr>
                <w:b/>
                <w:sz w:val="19"/>
              </w:rPr>
              <w:t>LR</w:t>
            </w:r>
          </w:p>
        </w:tc>
        <w:tc>
          <w:tcPr>
            <w:tcW w:type="dxa" w:w="4334"/>
            <w:tcMar>
              <w:top w:w="35" w:type="dxa"/>
              <w:bottom w:w="35" w:type="dxa"/>
              <w:left w:w="80" w:type="dxa"/>
              <w:right w:w="80" w:type="dxa"/>
            </w:tcMar>
            <w:shd w:fill="F9FAFB"/>
          </w:tcPr>
          <w:p>
            <w:r>
              <w:rPr>
                <w:sz w:val="19"/>
              </w:rPr>
              <w:t>Logistic Regression</w:t>
            </w:r>
          </w:p>
        </w:tc>
      </w:tr>
      <w:tr>
        <w:tc>
          <w:tcPr>
            <w:tcW w:type="dxa" w:w="4334"/>
            <w:tcMar>
              <w:top w:w="35" w:type="dxa"/>
              <w:bottom w:w="35" w:type="dxa"/>
              <w:left w:w="80" w:type="dxa"/>
              <w:right w:w="80" w:type="dxa"/>
            </w:tcMar>
          </w:tcPr>
          <w:p>
            <w:r>
              <w:rPr>
                <w:b/>
                <w:sz w:val="19"/>
              </w:rPr>
              <w:t>ML</w:t>
            </w:r>
          </w:p>
        </w:tc>
        <w:tc>
          <w:tcPr>
            <w:tcW w:type="dxa" w:w="4334"/>
            <w:tcMar>
              <w:top w:w="35" w:type="dxa"/>
              <w:bottom w:w="35" w:type="dxa"/>
              <w:left w:w="80" w:type="dxa"/>
              <w:right w:w="80" w:type="dxa"/>
            </w:tcMar>
          </w:tcPr>
          <w:p>
            <w:r>
              <w:rPr>
                <w:sz w:val="19"/>
              </w:rPr>
              <w:t>Machine Learning</w:t>
            </w:r>
          </w:p>
        </w:tc>
      </w:tr>
      <w:tr>
        <w:tc>
          <w:tcPr>
            <w:tcW w:type="dxa" w:w="4334"/>
            <w:tcMar>
              <w:top w:w="35" w:type="dxa"/>
              <w:bottom w:w="35" w:type="dxa"/>
              <w:left w:w="80" w:type="dxa"/>
              <w:right w:w="80" w:type="dxa"/>
            </w:tcMar>
            <w:shd w:fill="F9FAFB"/>
          </w:tcPr>
          <w:p>
            <w:r>
              <w:rPr>
                <w:b/>
                <w:sz w:val="19"/>
              </w:rPr>
              <w:t>NTU</w:t>
            </w:r>
          </w:p>
        </w:tc>
        <w:tc>
          <w:tcPr>
            <w:tcW w:type="dxa" w:w="4334"/>
            <w:tcMar>
              <w:top w:w="35" w:type="dxa"/>
              <w:bottom w:w="35" w:type="dxa"/>
              <w:left w:w="80" w:type="dxa"/>
              <w:right w:w="80" w:type="dxa"/>
            </w:tcMar>
            <w:shd w:fill="F9FAFB"/>
          </w:tcPr>
          <w:p>
            <w:r>
              <w:rPr>
                <w:sz w:val="19"/>
              </w:rPr>
              <w:t>Nephelometric Turbidity Units</w:t>
            </w:r>
          </w:p>
        </w:tc>
      </w:tr>
      <w:tr>
        <w:tc>
          <w:tcPr>
            <w:tcW w:type="dxa" w:w="4334"/>
            <w:tcMar>
              <w:top w:w="35" w:type="dxa"/>
              <w:bottom w:w="35" w:type="dxa"/>
              <w:left w:w="80" w:type="dxa"/>
              <w:right w:w="80" w:type="dxa"/>
            </w:tcMar>
          </w:tcPr>
          <w:p>
            <w:r>
              <w:rPr>
                <w:b/>
                <w:sz w:val="19"/>
              </w:rPr>
              <w:t>OOP</w:t>
            </w:r>
          </w:p>
        </w:tc>
        <w:tc>
          <w:tcPr>
            <w:tcW w:type="dxa" w:w="4334"/>
            <w:tcMar>
              <w:top w:w="35" w:type="dxa"/>
              <w:bottom w:w="35" w:type="dxa"/>
              <w:left w:w="80" w:type="dxa"/>
              <w:right w:w="80" w:type="dxa"/>
            </w:tcMar>
          </w:tcPr>
          <w:p>
            <w:r>
              <w:rPr>
                <w:sz w:val="19"/>
              </w:rPr>
              <w:t>Object-Oriented Programming</w:t>
            </w:r>
          </w:p>
        </w:tc>
      </w:tr>
      <w:tr>
        <w:tc>
          <w:tcPr>
            <w:tcW w:type="dxa" w:w="4334"/>
            <w:tcMar>
              <w:top w:w="35" w:type="dxa"/>
              <w:bottom w:w="35" w:type="dxa"/>
              <w:left w:w="80" w:type="dxa"/>
              <w:right w:w="80" w:type="dxa"/>
            </w:tcMar>
            <w:shd w:fill="F9FAFB"/>
          </w:tcPr>
          <w:p>
            <w:r>
              <w:rPr>
                <w:b/>
                <w:sz w:val="19"/>
              </w:rPr>
              <w:t>PPM</w:t>
            </w:r>
          </w:p>
        </w:tc>
        <w:tc>
          <w:tcPr>
            <w:tcW w:type="dxa" w:w="4334"/>
            <w:tcMar>
              <w:top w:w="35" w:type="dxa"/>
              <w:bottom w:w="35" w:type="dxa"/>
              <w:left w:w="80" w:type="dxa"/>
              <w:right w:w="80" w:type="dxa"/>
            </w:tcMar>
            <w:shd w:fill="F9FAFB"/>
          </w:tcPr>
          <w:p>
            <w:r>
              <w:rPr>
                <w:sz w:val="19"/>
              </w:rPr>
              <w:t>Parts Per Million (mg/L)</w:t>
            </w:r>
          </w:p>
        </w:tc>
      </w:tr>
      <w:tr>
        <w:tc>
          <w:tcPr>
            <w:tcW w:type="dxa" w:w="4334"/>
            <w:tcMar>
              <w:top w:w="35" w:type="dxa"/>
              <w:bottom w:w="35" w:type="dxa"/>
              <w:left w:w="80" w:type="dxa"/>
              <w:right w:w="80" w:type="dxa"/>
            </w:tcMar>
          </w:tcPr>
          <w:p>
            <w:r>
              <w:rPr>
                <w:b/>
                <w:sz w:val="19"/>
              </w:rPr>
              <w:t>RF</w:t>
            </w:r>
          </w:p>
        </w:tc>
        <w:tc>
          <w:tcPr>
            <w:tcW w:type="dxa" w:w="4334"/>
            <w:tcMar>
              <w:top w:w="35" w:type="dxa"/>
              <w:bottom w:w="35" w:type="dxa"/>
              <w:left w:w="80" w:type="dxa"/>
              <w:right w:w="80" w:type="dxa"/>
            </w:tcMar>
          </w:tcPr>
          <w:p>
            <w:r>
              <w:rPr>
                <w:sz w:val="19"/>
              </w:rPr>
              <w:t>Random Forest Classifier</w:t>
            </w:r>
          </w:p>
        </w:tc>
      </w:tr>
      <w:tr>
        <w:tc>
          <w:tcPr>
            <w:tcW w:type="dxa" w:w="4334"/>
            <w:tcMar>
              <w:top w:w="35" w:type="dxa"/>
              <w:bottom w:w="35" w:type="dxa"/>
              <w:left w:w="80" w:type="dxa"/>
              <w:right w:w="80" w:type="dxa"/>
            </w:tcMar>
            <w:shd w:fill="F9FAFB"/>
          </w:tcPr>
          <w:p>
            <w:r>
              <w:rPr>
                <w:b/>
                <w:sz w:val="19"/>
              </w:rPr>
              <w:t>REST</w:t>
            </w:r>
          </w:p>
        </w:tc>
        <w:tc>
          <w:tcPr>
            <w:tcW w:type="dxa" w:w="4334"/>
            <w:tcMar>
              <w:top w:w="35" w:type="dxa"/>
              <w:bottom w:w="35" w:type="dxa"/>
              <w:left w:w="80" w:type="dxa"/>
              <w:right w:w="80" w:type="dxa"/>
            </w:tcMar>
            <w:shd w:fill="F9FAFB"/>
          </w:tcPr>
          <w:p>
            <w:r>
              <w:rPr>
                <w:sz w:val="19"/>
              </w:rPr>
              <w:t>Representational State Transfer</w:t>
            </w:r>
          </w:p>
        </w:tc>
      </w:tr>
      <w:tr>
        <w:tc>
          <w:tcPr>
            <w:tcW w:type="dxa" w:w="4334"/>
            <w:tcMar>
              <w:top w:w="35" w:type="dxa"/>
              <w:bottom w:w="35" w:type="dxa"/>
              <w:left w:w="80" w:type="dxa"/>
              <w:right w:w="80" w:type="dxa"/>
            </w:tcMar>
          </w:tcPr>
          <w:p>
            <w:r>
              <w:rPr>
                <w:b/>
                <w:sz w:val="19"/>
              </w:rPr>
              <w:t>SDG</w:t>
            </w:r>
          </w:p>
        </w:tc>
        <w:tc>
          <w:tcPr>
            <w:tcW w:type="dxa" w:w="4334"/>
            <w:tcMar>
              <w:top w:w="35" w:type="dxa"/>
              <w:bottom w:w="35" w:type="dxa"/>
              <w:left w:w="80" w:type="dxa"/>
              <w:right w:w="80" w:type="dxa"/>
            </w:tcMar>
          </w:tcPr>
          <w:p>
            <w:r>
              <w:rPr>
                <w:sz w:val="19"/>
              </w:rPr>
              <w:t>Sustainable Development Goal (United Nations)</w:t>
            </w:r>
          </w:p>
        </w:tc>
      </w:tr>
      <w:tr>
        <w:tc>
          <w:tcPr>
            <w:tcW w:type="dxa" w:w="4334"/>
            <w:tcMar>
              <w:top w:w="35" w:type="dxa"/>
              <w:bottom w:w="35" w:type="dxa"/>
              <w:left w:w="80" w:type="dxa"/>
              <w:right w:w="80" w:type="dxa"/>
            </w:tcMar>
            <w:shd w:fill="F9FAFB"/>
          </w:tcPr>
          <w:p>
            <w:r>
              <w:rPr>
                <w:b/>
                <w:sz w:val="19"/>
              </w:rPr>
              <w:t>SHAP</w:t>
            </w:r>
          </w:p>
        </w:tc>
        <w:tc>
          <w:tcPr>
            <w:tcW w:type="dxa" w:w="4334"/>
            <w:tcMar>
              <w:top w:w="35" w:type="dxa"/>
              <w:bottom w:w="35" w:type="dxa"/>
              <w:left w:w="80" w:type="dxa"/>
              <w:right w:w="80" w:type="dxa"/>
            </w:tcMar>
            <w:shd w:fill="F9FAFB"/>
          </w:tcPr>
          <w:p>
            <w:r>
              <w:rPr>
                <w:sz w:val="19"/>
              </w:rPr>
              <w:t>Shapley Additive Explanations</w:t>
            </w:r>
          </w:p>
        </w:tc>
      </w:tr>
      <w:tr>
        <w:tc>
          <w:tcPr>
            <w:tcW w:type="dxa" w:w="4334"/>
            <w:tcMar>
              <w:top w:w="35" w:type="dxa"/>
              <w:bottom w:w="35" w:type="dxa"/>
              <w:left w:w="80" w:type="dxa"/>
              <w:right w:w="80" w:type="dxa"/>
            </w:tcMar>
          </w:tcPr>
          <w:p>
            <w:r>
              <w:rPr>
                <w:b/>
                <w:sz w:val="19"/>
              </w:rPr>
              <w:t>TDS</w:t>
            </w:r>
          </w:p>
        </w:tc>
        <w:tc>
          <w:tcPr>
            <w:tcW w:type="dxa" w:w="4334"/>
            <w:tcMar>
              <w:top w:w="35" w:type="dxa"/>
              <w:bottom w:w="35" w:type="dxa"/>
              <w:left w:w="80" w:type="dxa"/>
              <w:right w:w="80" w:type="dxa"/>
            </w:tcMar>
          </w:tcPr>
          <w:p>
            <w:r>
              <w:rPr>
                <w:sz w:val="19"/>
              </w:rPr>
              <w:t>Total Dissolved Solids</w:t>
            </w:r>
          </w:p>
        </w:tc>
      </w:tr>
      <w:tr>
        <w:tc>
          <w:tcPr>
            <w:tcW w:type="dxa" w:w="4334"/>
            <w:tcMar>
              <w:top w:w="35" w:type="dxa"/>
              <w:bottom w:w="35" w:type="dxa"/>
              <w:left w:w="80" w:type="dxa"/>
              <w:right w:w="80" w:type="dxa"/>
            </w:tcMar>
            <w:shd w:fill="F9FAFB"/>
          </w:tcPr>
          <w:p>
            <w:r>
              <w:rPr>
                <w:b/>
                <w:sz w:val="19"/>
              </w:rPr>
              <w:t>THM</w:t>
            </w:r>
          </w:p>
        </w:tc>
        <w:tc>
          <w:tcPr>
            <w:tcW w:type="dxa" w:w="4334"/>
            <w:tcMar>
              <w:top w:w="35" w:type="dxa"/>
              <w:bottom w:w="35" w:type="dxa"/>
              <w:left w:w="80" w:type="dxa"/>
              <w:right w:w="80" w:type="dxa"/>
            </w:tcMar>
            <w:shd w:fill="F9FAFB"/>
          </w:tcPr>
          <w:p>
            <w:r>
              <w:rPr>
                <w:sz w:val="19"/>
              </w:rPr>
              <w:t>Trihalomethanes</w:t>
            </w:r>
          </w:p>
        </w:tc>
      </w:tr>
      <w:tr>
        <w:tc>
          <w:tcPr>
            <w:tcW w:type="dxa" w:w="4334"/>
            <w:tcMar>
              <w:top w:w="35" w:type="dxa"/>
              <w:bottom w:w="35" w:type="dxa"/>
              <w:left w:w="80" w:type="dxa"/>
              <w:right w:w="80" w:type="dxa"/>
            </w:tcMar>
          </w:tcPr>
          <w:p>
            <w:r>
              <w:rPr>
                <w:b/>
                <w:sz w:val="19"/>
              </w:rPr>
              <w:t>UI</w:t>
            </w:r>
          </w:p>
        </w:tc>
        <w:tc>
          <w:tcPr>
            <w:tcW w:type="dxa" w:w="4334"/>
            <w:tcMar>
              <w:top w:w="35" w:type="dxa"/>
              <w:bottom w:w="35" w:type="dxa"/>
              <w:left w:w="80" w:type="dxa"/>
              <w:right w:w="80" w:type="dxa"/>
            </w:tcMar>
          </w:tcPr>
          <w:p>
            <w:r>
              <w:rPr>
                <w:sz w:val="19"/>
              </w:rPr>
              <w:t>User Interface</w:t>
            </w:r>
          </w:p>
        </w:tc>
      </w:tr>
      <w:tr>
        <w:tc>
          <w:tcPr>
            <w:tcW w:type="dxa" w:w="4334"/>
            <w:tcMar>
              <w:top w:w="35" w:type="dxa"/>
              <w:bottom w:w="35" w:type="dxa"/>
              <w:left w:w="80" w:type="dxa"/>
              <w:right w:w="80" w:type="dxa"/>
            </w:tcMar>
            <w:shd w:fill="F9FAFB"/>
          </w:tcPr>
          <w:p>
            <w:r>
              <w:rPr>
                <w:b/>
                <w:sz w:val="19"/>
              </w:rPr>
              <w:t>URL</w:t>
            </w:r>
          </w:p>
        </w:tc>
        <w:tc>
          <w:tcPr>
            <w:tcW w:type="dxa" w:w="4334"/>
            <w:tcMar>
              <w:top w:w="35" w:type="dxa"/>
              <w:bottom w:w="35" w:type="dxa"/>
              <w:left w:w="80" w:type="dxa"/>
              <w:right w:w="80" w:type="dxa"/>
            </w:tcMar>
            <w:shd w:fill="F9FAFB"/>
          </w:tcPr>
          <w:p>
            <w:r>
              <w:rPr>
                <w:sz w:val="19"/>
              </w:rPr>
              <w:t>Uniform Resource Locator</w:t>
            </w:r>
          </w:p>
        </w:tc>
      </w:tr>
      <w:tr>
        <w:tc>
          <w:tcPr>
            <w:tcW w:type="dxa" w:w="4334"/>
            <w:tcMar>
              <w:top w:w="35" w:type="dxa"/>
              <w:bottom w:w="35" w:type="dxa"/>
              <w:left w:w="80" w:type="dxa"/>
              <w:right w:w="80" w:type="dxa"/>
            </w:tcMar>
          </w:tcPr>
          <w:p>
            <w:r>
              <w:rPr>
                <w:b/>
                <w:sz w:val="19"/>
              </w:rPr>
              <w:t>WQI</w:t>
            </w:r>
          </w:p>
        </w:tc>
        <w:tc>
          <w:tcPr>
            <w:tcW w:type="dxa" w:w="4334"/>
            <w:tcMar>
              <w:top w:w="35" w:type="dxa"/>
              <w:bottom w:w="35" w:type="dxa"/>
              <w:left w:w="80" w:type="dxa"/>
              <w:right w:w="80" w:type="dxa"/>
            </w:tcMar>
          </w:tcPr>
          <w:p>
            <w:r>
              <w:rPr>
                <w:sz w:val="19"/>
              </w:rPr>
              <w:t>Water Quality Index</w:t>
            </w:r>
          </w:p>
        </w:tc>
      </w:tr>
      <w:tr>
        <w:tc>
          <w:tcPr>
            <w:tcW w:type="dxa" w:w="4334"/>
            <w:tcMar>
              <w:top w:w="35" w:type="dxa"/>
              <w:bottom w:w="35" w:type="dxa"/>
              <w:left w:w="80" w:type="dxa"/>
              <w:right w:w="80" w:type="dxa"/>
            </w:tcMar>
            <w:shd w:fill="F9FAFB"/>
          </w:tcPr>
          <w:p>
            <w:r>
              <w:rPr>
                <w:b/>
                <w:sz w:val="19"/>
              </w:rPr>
              <w:t>WHO</w:t>
            </w:r>
          </w:p>
        </w:tc>
        <w:tc>
          <w:tcPr>
            <w:tcW w:type="dxa" w:w="4334"/>
            <w:tcMar>
              <w:top w:w="35" w:type="dxa"/>
              <w:bottom w:w="35" w:type="dxa"/>
              <w:left w:w="80" w:type="dxa"/>
              <w:right w:w="80" w:type="dxa"/>
            </w:tcMar>
            <w:shd w:fill="F9FAFB"/>
          </w:tcPr>
          <w:p>
            <w:r>
              <w:rPr>
                <w:sz w:val="19"/>
              </w:rPr>
              <w:t>World Health Organization</w:t>
            </w:r>
          </w:p>
        </w:tc>
      </w:tr>
    </w:tbl>
    <w:p>
      <w:pPr>
        <w:sectPr>
          <w:footerReference w:type="default" r:id="rId9"/>
          <w:pgSz w:w="11909" w:h="16834"/>
          <w:pgMar w:top="1440" w:right="1440" w:bottom="1440" w:left="1800" w:header="720" w:footer="720" w:gutter="0"/>
          <w:cols w:space="720"/>
          <w:docGrid w:linePitch="360"/>
          <w:pgNumType w:start="5" w:fmt="roman"/>
        </w:sectPr>
      </w:pPr>
    </w:p>
    <w:p>
      <w:r>
        <w:br w:type="page"/>
      </w:r>
    </w:p>
    <w:p>
      <w:pPr>
        <w:spacing w:before="360" w:after="280" w:line="276" w:lineRule="auto"/>
        <w:jc w:val="center"/>
      </w:pPr>
      <w:r>
        <w:rPr>
          <w:rFonts w:ascii="Times New Roman" w:hAnsi="Times New Roman"/>
          <w:b/>
          <w:color w:val="000000"/>
          <w:sz w:val="36"/>
        </w:rPr>
        <w:t>CHAPTER 1</w:t>
        <w:br/>
        <w:t>INTRODUCTION</w:t>
      </w:r>
    </w:p>
    <w:p>
      <w:pPr>
        <w:spacing w:before="280" w:after="120" w:line="276" w:lineRule="auto"/>
        <w:jc w:val="left"/>
      </w:pPr>
      <w:r>
        <w:rPr>
          <w:rFonts w:ascii="Times New Roman" w:hAnsi="Times New Roman"/>
          <w:b/>
          <w:color w:val="000000"/>
          <w:sz w:val="32"/>
        </w:rPr>
        <w:t>1.1 Background and Motivation</w:t>
      </w:r>
    </w:p>
    <w:p>
      <w:pPr>
        <w:spacing w:line="360" w:lineRule="auto" w:after="120"/>
        <w:jc w:val="both"/>
      </w:pPr>
      <w:r>
        <w:rPr>
          <w:rFonts w:ascii="Times New Roman" w:hAnsi="Times New Roman"/>
          <w:color w:val="000000"/>
          <w:sz w:val="24"/>
        </w:rPr>
        <w:t>Water is the fundamental prerequisite for human life, economic development, and ecological stability. However, the transmission of pathogenic microorganisms through contaminated drinking water remains one of the most severe public health crises globally. The World Health Organization (WHO 2022) estimates that over two billion people worldwide drink water from sources contaminated with feces, resulting in an estimated 829,000 diarrheal deaths each year. Waterborne infectious diseases—including cholera (Vibrio cholerae), typhoid fever (Salmonella typhi), amoebiasis, and bacillary dysentery—disproportionately impact vulnerable populations in semi-urban settlements, informal housing colonies, and rural agrarian districts across India.</w:t>
      </w:r>
    </w:p>
    <w:p>
      <w:pPr>
        <w:spacing w:line="360" w:lineRule="auto" w:after="120"/>
        <w:jc w:val="both"/>
      </w:pPr>
      <w:r>
        <w:rPr>
          <w:rFonts w:ascii="Times New Roman" w:hAnsi="Times New Roman"/>
          <w:color w:val="000000"/>
          <w:sz w:val="24"/>
        </w:rPr>
        <w:t>The primary challenge in managing waterborne epidemics lies in the operational time lag of traditional public health surveillance. Conventional epidemiological monitoring relies on microbiological water testing, primarily culture-based membrane filtration and bacterial incubation, to detect Escherichia coli or thermotolerant coliforms. These microbiological laboratory procedures require a mandatory incubation period of 48 to 72 hours. In practice, by the time laboratory culture results confirm severe pathogenic contamination in a municipal water reservoir or pipeline, hundreds of residents have already ingested the contaminated water, and clinical admissions at primary healthcare centers have already surged. This creates a reactive crisis-response posture, where interventions (such as superchlorination, water tanker deployment, and medical camps) occur only after significant morbidity has taken hold.</w:t>
      </w:r>
    </w:p>
    <w:p>
      <w:pPr>
        <w:spacing w:line="360" w:lineRule="auto" w:after="120"/>
        <w:jc w:val="both"/>
      </w:pPr>
      <w:r>
        <w:rPr>
          <w:rFonts w:ascii="Times New Roman" w:hAnsi="Times New Roman"/>
          <w:color w:val="000000"/>
          <w:sz w:val="24"/>
        </w:rPr>
        <w:t>Recent breakthroughs in Internet of Things (IoT) sensors and rapid physicochemical telemetry offer a transformative solution. Physical and chemical water properties—including pH, electrical conductivity, turbidity, total dissolved solids, chloramine residual, and organic carbon—can be monitored in near real-time using in-situ probe sensors. While these chemical sensors do not directly isolate specific microbial pathogens, they provide vital surrogate indicators of water quality deterioration. For instance, elevated turbidity shields bacteria from ultraviolet disinfection, depleted chloramines indicate the exhaustion of protective biocides, and spikes in organic carbon provide the organic substrate necessary for explosive bacterial proliferation. Machine Learning models trained on multi-parameter water telemetry can discover complex non-linear interactions across these chemical indicators and predict outbreak risks instantaneously, bridging the critical 48-hour diagnostic gap.</w:t>
      </w:r>
    </w:p>
    <w:p>
      <w:pPr>
        <w:spacing w:before="280" w:after="120" w:line="276" w:lineRule="auto"/>
        <w:jc w:val="left"/>
      </w:pPr>
      <w:r>
        <w:rPr>
          <w:rFonts w:ascii="Times New Roman" w:hAnsi="Times New Roman"/>
          <w:b/>
          <w:color w:val="000000"/>
          <w:sz w:val="32"/>
        </w:rPr>
        <w:t>1.2 Scope and Limitations</w:t>
      </w:r>
    </w:p>
    <w:p>
      <w:pPr>
        <w:spacing w:line="360" w:lineRule="auto" w:after="120"/>
        <w:jc w:val="both"/>
      </w:pPr>
      <w:r>
        <w:rPr>
          <w:rFonts w:ascii="Times New Roman" w:hAnsi="Times New Roman"/>
          <w:b/>
          <w:color w:val="000000"/>
          <w:sz w:val="24"/>
        </w:rPr>
        <w:t xml:space="preserve">Scope of the Work: </w:t>
      </w:r>
      <w:r>
        <w:rPr>
          <w:rFonts w:ascii="Times New Roman" w:hAnsi="Times New Roman"/>
          <w:color w:val="000000"/>
          <w:sz w:val="24"/>
        </w:rPr>
        <w:t>The primary scope of project PRJ_441 encompasses the design, implementation, benchmarking, and deployment of a full-stack AI-driven spatial surveillance and outbreak risk prediction platform. The specific functional capabilities implemented in this research include:</w:t>
      </w:r>
    </w:p>
    <w:p>
      <w:pPr>
        <w:spacing w:line="360" w:lineRule="auto" w:after="120"/>
        <w:jc w:val="both"/>
      </w:pPr>
      <w:r>
        <w:rPr>
          <w:rFonts w:ascii="Times New Roman" w:hAnsi="Times New Roman"/>
          <w:color w:val="000000"/>
          <w:sz w:val="24"/>
        </w:rPr>
        <w:t>• Data Ingestion and Cleaning: Automated preprocessing and robust median imputation of 3,276 water quality records across 9 physicochemical attributes with zero row attrition.</w:t>
        <w:br/>
        <w:t>• Geochemical Feature Engineering: Mathematical formulation of the Contamination Risk Index (CRI) and WHO pH Safe Range Deviation to enrich tabular feature representations.</w:t>
        <w:br/>
        <w:t>• Supervised Multi-Model Benchmarking: 5-Fold Stratified Cross-Validation comparison across Random Forest, Gradient Boosted Decision Trees, Extra Trees, and Logistic Regression.</w:t>
        <w:br/>
        <w:t>• Spatial GIS Surveillance: Development of an interactive Leaflet/Folium multi-layer geographic visualization engine mapping simulated Bangalore municipal ward clusters into 3-tier risk categories (Low, Medium, High).</w:t>
        <w:br/>
        <w:t>• Production Web Dashboard: Implementation of an interactive 4-tab Streamlit dashboard (app.py) providing real-time slider-based risk inference, interactive GIS maps, model analytics, and batch CSV triage.</w:t>
      </w:r>
    </w:p>
    <w:p>
      <w:pPr>
        <w:spacing w:line="360" w:lineRule="auto" w:after="120"/>
        <w:jc w:val="both"/>
      </w:pPr>
      <w:r>
        <w:rPr>
          <w:rFonts w:ascii="Times New Roman" w:hAnsi="Times New Roman"/>
          <w:b/>
          <w:color w:val="000000"/>
          <w:sz w:val="24"/>
        </w:rPr>
        <w:t xml:space="preserve">System Limitations: </w:t>
      </w:r>
      <w:r>
        <w:rPr>
          <w:rFonts w:ascii="Times New Roman" w:hAnsi="Times New Roman"/>
          <w:color w:val="000000"/>
          <w:sz w:val="24"/>
        </w:rPr>
        <w:t>The system operates under defined operational boundaries and technical constraints. The chemical dataset utilized (Kaggle Water Potability) contains physicochemical indicators but does not include direct biological metagenomic sequencing or real-time PCR bacterial counts. Sensor measurements in real-world municipal deployments can experience drift or transient hardware sensor faults. Furthermore, the GIS spatial mapping utilizes simulated municipal ward telemetry distributed across Bangalore geographic coordinates to demonstrate scalable municipal deployment. Model inferences serve as automated decision-support alerts for public health epidemiologists rather than legally binding clinical diagnoses.</w:t>
      </w:r>
    </w:p>
    <w:p>
      <w:pPr>
        <w:spacing w:before="280" w:after="120" w:line="276" w:lineRule="auto"/>
        <w:jc w:val="left"/>
      </w:pPr>
      <w:r>
        <w:rPr>
          <w:rFonts w:ascii="Times New Roman" w:hAnsi="Times New Roman"/>
          <w:b/>
          <w:color w:val="000000"/>
          <w:sz w:val="32"/>
        </w:rPr>
        <w:t>1.3 Problem Statement</w:t>
      </w:r>
    </w:p>
    <w:p>
      <w:pPr>
        <w:spacing w:line="360" w:lineRule="auto" w:after="120"/>
        <w:jc w:val="both"/>
      </w:pPr>
      <w:r>
        <w:rPr>
          <w:rFonts w:ascii="Times New Roman" w:hAnsi="Times New Roman"/>
          <w:color w:val="000000"/>
          <w:sz w:val="24"/>
        </w:rPr>
        <w:t>Conventional municipal water monitoring systems exhibit three systemic deficiencies that perpetuate waterborne disease outbreaks: (1) An unavoidable 48 to 72-hour microbiological laboratory latency that prevents early intervention before clinical symptoms emerge; (2) The total absence of spatial intelligence linking water telemetry to geographic municipal ward boundaries, preventing health officers from tracking contaminant plume propagation; and (3) A reliance in academic literature on synthetic, artificially clean datasets that produce deceptively high accuracy claims (&gt;95%) while catastrophically failing when deployed on real-world noisy water data characterized by weak individual feature correlations (|r| &lt; 0.07). The objective of this project is to develop, rigorously validate, and deploy an integrated ML and GIS early-warning software system that bypasses laboratory delays, handles real-world missing data robustly, and delivers actionable ward-level risk intelligence to public health authorities.</w:t>
      </w:r>
    </w:p>
    <w:p>
      <w:pPr>
        <w:spacing w:before="280" w:after="120" w:line="276" w:lineRule="auto"/>
        <w:jc w:val="left"/>
      </w:pPr>
      <w:r>
        <w:rPr>
          <w:rFonts w:ascii="Times New Roman" w:hAnsi="Times New Roman"/>
          <w:b/>
          <w:color w:val="000000"/>
          <w:sz w:val="32"/>
        </w:rPr>
        <w:t>1.4 Motivation</w:t>
      </w:r>
    </w:p>
    <w:p>
      <w:pPr>
        <w:spacing w:line="360" w:lineRule="auto" w:after="120"/>
        <w:jc w:val="both"/>
      </w:pPr>
      <w:r>
        <w:rPr>
          <w:rFonts w:ascii="Times New Roman" w:hAnsi="Times New Roman"/>
          <w:color w:val="000000"/>
          <w:sz w:val="24"/>
        </w:rPr>
        <w:t>The compelling motivation behind this research stems from the preventable nature of waterborne epidemics. Unlike airborne viruses that diffuse unpredictably, waterborne pathogens are physically constrained by municipal pipe networks, open water reservoirs, and drainage infrastructure. By monitoring the physicochemical barrier integrity of water distribution networks, contamination can be detected at the source. Shifting from reactive medical treatment to predictive early warning aligns directly with the United Nations Sustainable Development Goals (SDG 3: Good Health and Well-Being, and SDG 6: Clean Water and Sanitation). Furthermore, providing municipal engineers with transparent feature attribution (Gini importance) empowers rapid field remediation—such as dispatching secondary chlorination booster pumps or repairing localized pipe fractures—before an outbreak escalates into an uncontrolled epidemic.</w:t>
      </w:r>
    </w:p>
    <w:p>
      <w:pPr>
        <w:spacing w:before="280" w:after="120" w:line="276" w:lineRule="auto"/>
        <w:jc w:val="left"/>
      </w:pPr>
      <w:r>
        <w:rPr>
          <w:rFonts w:ascii="Times New Roman" w:hAnsi="Times New Roman"/>
          <w:b/>
          <w:color w:val="000000"/>
          <w:sz w:val="32"/>
        </w:rPr>
        <w:t>1.5 Methodology Overview</w:t>
      </w:r>
    </w:p>
    <w:p>
      <w:pPr>
        <w:spacing w:line="360" w:lineRule="auto" w:after="120"/>
        <w:jc w:val="both"/>
      </w:pPr>
      <w:r>
        <w:rPr>
          <w:rFonts w:ascii="Times New Roman" w:hAnsi="Times New Roman"/>
          <w:b/>
          <w:color w:val="000000"/>
          <w:sz w:val="24"/>
        </w:rPr>
        <w:t xml:space="preserve">Methodological Workflow: </w:t>
      </w:r>
      <w:r>
        <w:rPr>
          <w:rFonts w:ascii="Times New Roman" w:hAnsi="Times New Roman"/>
          <w:color w:val="000000"/>
          <w:sz w:val="24"/>
        </w:rPr>
        <w:t>The project follows an end-to-end modular software and machine learning engineering workflow:</w:t>
      </w:r>
    </w:p>
    <w:p>
      <w:pPr>
        <w:spacing w:line="360" w:lineRule="auto" w:after="120"/>
        <w:jc w:val="both"/>
      </w:pPr>
      <w:r>
        <w:rPr>
          <w:rFonts w:ascii="Times New Roman" w:hAnsi="Times New Roman"/>
          <w:color w:val="000000"/>
          <w:sz w:val="24"/>
        </w:rPr>
        <w:t>1. Data Acquisition &amp; Audit: Ingestion of 3,276 water telemetry observations from the benchmark Kaggle repository, evaluating missing value distributions and class imbalance.</w:t>
        <w:br/>
        <w:t>2. Outlier-Resistant Imputation: Non-parametric median imputation across pH (491 missing), Sulfate (781 missing), and Trihalomethanes (162 missing) to preserve all 3,276 records.</w:t>
        <w:br/>
        <w:t>3. Geochemical Feature Engineering: Formulation of the Contamination Risk Index (CRI) combining turbidity, organic carbon, and THMs, alongside WHO pH safe range deviation.</w:t>
        <w:br/>
        <w:t>4. Stratified Model Training &amp; Selection: 5-Fold Stratified Cross-Validation benchmarking of four candidate classifiers, selecting the 200-tree Random Forest ensemble based on ROC-AUC (0.672) and unsafe recall (76.0%).</w:t>
        <w:br/>
        <w:t>5. GIS Spatial Mapping &amp; Web Application: Serializing the trained pipeline into production joblib artifacts and deploying a multi-layer Folium GIS map and Streamlit web dashboard.</w:t>
      </w:r>
    </w:p>
    <w:p>
      <w:pPr>
        <w:spacing w:before="280" w:after="120" w:line="276" w:lineRule="auto"/>
        <w:jc w:val="left"/>
      </w:pPr>
      <w:r>
        <w:rPr>
          <w:rFonts w:ascii="Times New Roman" w:hAnsi="Times New Roman"/>
          <w:b/>
          <w:color w:val="000000"/>
          <w:sz w:val="32"/>
        </w:rPr>
        <w:t>1.6 Organization of the Thesis</w:t>
      </w:r>
    </w:p>
    <w:p>
      <w:pPr>
        <w:spacing w:before="200" w:after="80" w:line="276" w:lineRule="auto"/>
        <w:jc w:val="left"/>
      </w:pPr>
      <w:r>
        <w:rPr>
          <w:rFonts w:ascii="Times New Roman" w:hAnsi="Times New Roman"/>
          <w:b/>
          <w:color w:val="000000"/>
          <w:sz w:val="28"/>
        </w:rPr>
        <w:t>1.6.1 Logical Flow of the Research Work</w:t>
      </w:r>
    </w:p>
    <w:p>
      <w:pPr>
        <w:spacing w:line="360" w:lineRule="auto" w:after="120"/>
        <w:jc w:val="both"/>
      </w:pPr>
      <w:r>
        <w:rPr>
          <w:rFonts w:ascii="Times New Roman" w:hAnsi="Times New Roman"/>
          <w:color w:val="000000"/>
          <w:sz w:val="24"/>
        </w:rPr>
        <w:t>The thesis progresses logically from clinical problem formulation and literature analysis through mathematical modeling, experimental benchmarking, spatial surveillance architecture, and operational web deployment.</w:t>
      </w:r>
    </w:p>
    <w:p>
      <w:pPr>
        <w:spacing w:before="200" w:after="80" w:line="276" w:lineRule="auto"/>
        <w:jc w:val="left"/>
      </w:pPr>
      <w:r>
        <w:rPr>
          <w:rFonts w:ascii="Times New Roman" w:hAnsi="Times New Roman"/>
          <w:b/>
          <w:color w:val="000000"/>
          <w:sz w:val="28"/>
        </w:rPr>
        <w:t>1.6.2 Contribution Mapping Across Chapters</w:t>
      </w:r>
    </w:p>
    <w:p>
      <w:pPr>
        <w:spacing w:line="360" w:lineRule="auto" w:after="120"/>
        <w:jc w:val="both"/>
      </w:pPr>
      <w:r>
        <w:rPr>
          <w:rFonts w:ascii="Times New Roman" w:hAnsi="Times New Roman"/>
          <w:color w:val="000000"/>
          <w:sz w:val="24"/>
        </w:rPr>
        <w:t>Chapter 2 reviews related work in ML water quality indices and GIS epidemiology. Chapter 3 defines critical research gaps. Chapter 4 presents the complete methodology and mathematical formulation. Chapter 5 formalizes project objectives. Chapter 6 details system design, OOP architecture, and algorithm logic. Chapter 7 presents the 16-week execution Gantt chart. Chapter 8 summarizes technical outcomes. Chapter 9 presents 5-fold CV benchmarks and discussion. Chapter 10 concludes the dissertation with future research directions, followed by References and Appendices A through D.</w:t>
      </w:r>
    </w:p>
    <w:p>
      <w:pPr>
        <w:spacing w:before="200" w:after="80" w:line="276" w:lineRule="auto"/>
        <w:jc w:val="left"/>
      </w:pPr>
      <w:r>
        <w:rPr>
          <w:rFonts w:ascii="Times New Roman" w:hAnsi="Times New Roman"/>
          <w:b/>
          <w:color w:val="000000"/>
          <w:sz w:val="28"/>
        </w:rPr>
        <w:t>1.6.3 Chapter Overview Summary</w:t>
      </w:r>
    </w:p>
    <w:p>
      <w:pPr>
        <w:spacing w:line="360" w:lineRule="auto" w:after="120"/>
        <w:jc w:val="both"/>
      </w:pPr>
      <w:r>
        <w:rPr>
          <w:rFonts w:ascii="Times New Roman" w:hAnsi="Times New Roman"/>
          <w:color w:val="000000"/>
          <w:sz w:val="24"/>
        </w:rPr>
        <w:t>Each chapter is self-contained yet systematically builds toward validating the technical feasibility and public health utility of the proposed ML-GIS platform.</w:t>
      </w:r>
    </w:p>
    <w:p>
      <w:r>
        <w:br w:type="page"/>
      </w:r>
    </w:p>
    <w:p>
      <w:pPr>
        <w:spacing w:before="360" w:after="280" w:line="276" w:lineRule="auto"/>
        <w:jc w:val="center"/>
      </w:pPr>
      <w:r>
        <w:rPr>
          <w:rFonts w:ascii="Times New Roman" w:hAnsi="Times New Roman"/>
          <w:b/>
          <w:color w:val="000000"/>
          <w:sz w:val="36"/>
        </w:rPr>
        <w:t>CHAPTER 2</w:t>
        <w:br/>
        <w:t>LITERATURE SURVEY</w:t>
      </w:r>
    </w:p>
    <w:p>
      <w:pPr>
        <w:spacing w:before="280" w:after="120" w:line="276" w:lineRule="auto"/>
        <w:jc w:val="left"/>
      </w:pPr>
      <w:r>
        <w:rPr>
          <w:rFonts w:ascii="Times New Roman" w:hAnsi="Times New Roman"/>
          <w:b/>
          <w:color w:val="000000"/>
          <w:sz w:val="32"/>
        </w:rPr>
        <w:t>2.1 Introduction to Related Work</w:t>
      </w:r>
    </w:p>
    <w:p>
      <w:pPr>
        <w:spacing w:line="360" w:lineRule="auto" w:after="120"/>
        <w:jc w:val="both"/>
      </w:pPr>
      <w:r>
        <w:rPr>
          <w:rFonts w:ascii="Times New Roman" w:hAnsi="Times New Roman"/>
          <w:color w:val="000000"/>
          <w:sz w:val="24"/>
        </w:rPr>
        <w:t>Applying machine learning and spatial intelligence to environmental monitoring and public health has garnered substantial academic attention over the past decade. Research spans three interconnected domains: conventional Water Quality Index (WQI) formulations, supervised classification of water potability, and GIS-based epidemiological cluster surveillance.</w:t>
      </w:r>
    </w:p>
    <w:p>
      <w:pPr>
        <w:spacing w:before="280" w:after="120" w:line="276" w:lineRule="auto"/>
        <w:jc w:val="left"/>
      </w:pPr>
      <w:r>
        <w:rPr>
          <w:rFonts w:ascii="Times New Roman" w:hAnsi="Times New Roman"/>
          <w:b/>
          <w:color w:val="000000"/>
          <w:sz w:val="32"/>
        </w:rPr>
        <w:t>2.2 Survey of Existing Systems and Approaches</w:t>
      </w:r>
    </w:p>
    <w:p>
      <w:pPr>
        <w:spacing w:before="200" w:after="80" w:line="276" w:lineRule="auto"/>
        <w:jc w:val="left"/>
      </w:pPr>
      <w:r>
        <w:rPr>
          <w:rFonts w:ascii="Times New Roman" w:hAnsi="Times New Roman"/>
          <w:b/>
          <w:color w:val="000000"/>
          <w:sz w:val="28"/>
        </w:rPr>
        <w:t>2.2.1 Conventional Water Quality Indices (WQI) and Physicochemical Modeling</w:t>
      </w:r>
    </w:p>
    <w:p>
      <w:pPr>
        <w:spacing w:line="360" w:lineRule="auto" w:after="120"/>
        <w:jc w:val="both"/>
      </w:pPr>
      <w:r>
        <w:rPr>
          <w:rFonts w:ascii="Times New Roman" w:hAnsi="Times New Roman"/>
          <w:color w:val="000000"/>
          <w:sz w:val="24"/>
        </w:rPr>
        <w:t>Traditional water assessment relies on empirical WQI formulations, such as the Canadian Council of Ministers of the Environment (CCME) WQI or the National Sanitation Foundation (NSF) WQI. These indices aggregate multiple chemical parameters using rigid weighting functions. Saha and Bhowmik (2020) demonstrated that while traditional WQI methods offer standardized grading, they fail to capture complex, non-linear interactions between disparate chemical species—such as the synergistic toxicity between high sulfate concentrations and acidic pH. Machine learning models provide a data-driven alternative, capable of mapping multi-dimensional feature topologies without manual heuristic weight assignment.</w:t>
      </w:r>
    </w:p>
    <w:p>
      <w:pPr>
        <w:spacing w:before="200" w:after="80" w:line="276" w:lineRule="auto"/>
        <w:jc w:val="left"/>
      </w:pPr>
      <w:r>
        <w:rPr>
          <w:rFonts w:ascii="Times New Roman" w:hAnsi="Times New Roman"/>
          <w:b/>
          <w:color w:val="000000"/>
          <w:sz w:val="28"/>
        </w:rPr>
        <w:t>2.2.2 Supervised Machine Learning for Water Potability Prediction</w:t>
      </w:r>
    </w:p>
    <w:p>
      <w:pPr>
        <w:spacing w:line="360" w:lineRule="auto" w:after="120"/>
        <w:jc w:val="both"/>
      </w:pPr>
      <w:r>
        <w:rPr>
          <w:rFonts w:ascii="Times New Roman" w:hAnsi="Times New Roman"/>
          <w:color w:val="000000"/>
          <w:sz w:val="24"/>
        </w:rPr>
        <w:t>Recent literature has evaluated various classification architectures on tabular water quality data. Kadiwal (2021) introduced the benchmark 3,276-sample Kaggle water potability dataset. Numerous published works have evaluated algorithms ranging from Support Vector Machines (SVM) and Multi-Layer Perceptrons (MLP) to ensemble decision trees (Random Forest, XGBoost, LightGBM). However, a pervasive issue in published studies is the misinterpretation of accuracy metrics. Several papers report unrealistic classification accuracies exceeding 90% or 95% on small synthetic datasets or through inappropriate cross-validation setups that introduce data leakage. On real-world environmental data, as demonstrated by Breiman (2001) and Pedregosa et al. (2011), non-linear decision tree ensembles typically achieve realistic accuracies between 63% and 68%, reflecting the high stochastic variance and weak linear feature correlations inherent to natural water bodies.</w:t>
      </w:r>
    </w:p>
    <w:p>
      <w:pPr>
        <w:spacing w:before="200" w:after="80" w:line="276" w:lineRule="auto"/>
        <w:jc w:val="left"/>
      </w:pPr>
      <w:r>
        <w:rPr>
          <w:rFonts w:ascii="Times New Roman" w:hAnsi="Times New Roman"/>
          <w:b/>
          <w:color w:val="000000"/>
          <w:sz w:val="28"/>
        </w:rPr>
        <w:t>2.2.3 Spatial Epidemiology and GIS Surveillance</w:t>
      </w:r>
    </w:p>
    <w:p>
      <w:pPr>
        <w:spacing w:line="360" w:lineRule="auto" w:after="120"/>
        <w:jc w:val="both"/>
      </w:pPr>
      <w:r>
        <w:rPr>
          <w:rFonts w:ascii="Times New Roman" w:hAnsi="Times New Roman"/>
          <w:color w:val="000000"/>
          <w:sz w:val="24"/>
        </w:rPr>
        <w:t>Geographic Information Systems have played a foundational role in epidemiology since John Snow's historic 1854 cholera map of the Broad Street pump in London. In modern public health, Few, Lake, and Hunter (2013) reviewed the integration of spatial mapping with flood risk and waterborne disease transmission. They noted that while modern municipal authorities collect extensive water data, the telemetry is rarely integrated into interactive spatial GIS systems that update dynamically. Existing systems operate as post-outbreak archival repositories rather than prospective real-time warning platforms.</w:t>
      </w:r>
    </w:p>
    <w:p>
      <w:pPr>
        <w:spacing w:before="280" w:after="120" w:line="276" w:lineRule="auto"/>
        <w:jc w:val="left"/>
      </w:pPr>
      <w:r>
        <w:rPr>
          <w:rFonts w:ascii="Times New Roman" w:hAnsi="Times New Roman"/>
          <w:b/>
          <w:color w:val="000000"/>
          <w:sz w:val="32"/>
        </w:rPr>
        <w:t>2.3 Synthesis of the Literature</w:t>
      </w:r>
    </w:p>
    <w:p>
      <w:pPr>
        <w:spacing w:line="360" w:lineRule="auto" w:after="120"/>
        <w:jc w:val="both"/>
      </w:pPr>
      <w:r>
        <w:rPr>
          <w:rFonts w:ascii="Times New Roman" w:hAnsi="Times New Roman"/>
          <w:color w:val="000000"/>
          <w:sz w:val="24"/>
        </w:rPr>
        <w:t>A critical synthesis of the literature reveals that existing systems either focus purely on chemical classification without spatial geographic awareness, or focus on GIS mapping of historical patient cases without predictive machine learning intelligence. Furthermore, the clinical delay of 48-72 hours associated with microbial culturing remains unaddressed in municipal decision systems.</w:t>
      </w:r>
    </w:p>
    <w:p>
      <w:pPr>
        <w:spacing w:before="280" w:after="120" w:line="276" w:lineRule="auto"/>
        <w:jc w:val="left"/>
      </w:pPr>
      <w:r>
        <w:rPr>
          <w:rFonts w:ascii="Times New Roman" w:hAnsi="Times New Roman"/>
          <w:b/>
          <w:color w:val="000000"/>
          <w:sz w:val="32"/>
        </w:rPr>
        <w:t>2.4 Relevance to the Proposed Project</w:t>
      </w:r>
    </w:p>
    <w:p>
      <w:pPr>
        <w:spacing w:line="360" w:lineRule="auto" w:after="120"/>
        <w:jc w:val="both"/>
      </w:pPr>
      <w:r>
        <w:rPr>
          <w:rFonts w:ascii="Times New Roman" w:hAnsi="Times New Roman"/>
          <w:color w:val="000000"/>
          <w:sz w:val="24"/>
        </w:rPr>
        <w:t>The proposed project PRJ_441 directly bridges these isolated domains. By combining rapid physicochemical telemetry, domain feature engineering (CRI), outlier-resistant median imputation, 5-fold cross-validated Random Forest ensembles, and multi-layer Folium GIS mapping, the system delivers an end-to-end predictive early-warning surveillance platform.</w:t>
      </w:r>
    </w:p>
    <w:p>
      <w:pPr>
        <w:spacing w:before="280" w:after="120" w:line="276" w:lineRule="auto"/>
        <w:jc w:val="left"/>
      </w:pPr>
      <w:r>
        <w:rPr>
          <w:rFonts w:ascii="Times New Roman" w:hAnsi="Times New Roman"/>
          <w:b/>
          <w:color w:val="000000"/>
          <w:sz w:val="32"/>
        </w:rPr>
        <w:t>2.5 Summary</w:t>
      </w:r>
    </w:p>
    <w:p>
      <w:pPr>
        <w:spacing w:line="360" w:lineRule="auto" w:after="120"/>
        <w:jc w:val="both"/>
      </w:pPr>
      <w:r>
        <w:rPr>
          <w:rFonts w:ascii="Times New Roman" w:hAnsi="Times New Roman"/>
          <w:color w:val="000000"/>
          <w:sz w:val="24"/>
        </w:rPr>
        <w:t>This chapter reviewed foundational literature in WQI modeling, ML water potability classification, and spatial epidemiology. The identified limitations motivate the architecture and empirical methodology detailed in the subsequent chapters.</w:t>
      </w:r>
    </w:p>
    <w:p>
      <w:r>
        <w:br w:type="page"/>
      </w:r>
    </w:p>
    <w:p>
      <w:pPr>
        <w:spacing w:before="360" w:after="280" w:line="276" w:lineRule="auto"/>
        <w:jc w:val="center"/>
      </w:pPr>
      <w:r>
        <w:rPr>
          <w:rFonts w:ascii="Times New Roman" w:hAnsi="Times New Roman"/>
          <w:b/>
          <w:color w:val="000000"/>
          <w:sz w:val="36"/>
        </w:rPr>
        <w:t>CHAPTER 3</w:t>
        <w:br/>
        <w:t>RESEARCH GAPS OF EXISTING METHODS</w:t>
      </w:r>
    </w:p>
    <w:p>
      <w:pPr>
        <w:spacing w:line="360" w:lineRule="auto" w:after="120"/>
        <w:jc w:val="both"/>
      </w:pPr>
      <w:r>
        <w:rPr>
          <w:rFonts w:ascii="Times New Roman" w:hAnsi="Times New Roman"/>
          <w:b/>
          <w:color w:val="000000"/>
          <w:sz w:val="24"/>
        </w:rPr>
        <w:t xml:space="preserve">Critical Research Gaps: </w:t>
      </w:r>
      <w:r>
        <w:rPr>
          <w:rFonts w:ascii="Times New Roman" w:hAnsi="Times New Roman"/>
          <w:color w:val="000000"/>
          <w:sz w:val="24"/>
        </w:rPr>
        <w:t>A rigorous audit of conventional municipal water surveillance and current academic literature identifies four critical research gaps:</w:t>
      </w:r>
    </w:p>
    <w:p>
      <w:pPr>
        <w:spacing w:line="360" w:lineRule="auto" w:after="120"/>
        <w:jc w:val="both"/>
      </w:pPr>
      <w:r>
        <w:rPr>
          <w:rFonts w:ascii="Times New Roman" w:hAnsi="Times New Roman"/>
          <w:color w:val="000000"/>
          <w:sz w:val="24"/>
        </w:rPr>
        <w:t>1. Biological Latency Gap (48–72 Hour Window): Standard municipal monitoring depends on microbiological bacterial incubation (E. coli culturing), creating an inherent delay during which contaminated water is widely distributed and consumed before test results are reported.</w:t>
      </w:r>
    </w:p>
    <w:p>
      <w:pPr>
        <w:spacing w:line="360" w:lineRule="auto" w:after="120"/>
        <w:jc w:val="both"/>
      </w:pPr>
      <w:r>
        <w:rPr>
          <w:rFonts w:ascii="Times New Roman" w:hAnsi="Times New Roman"/>
          <w:color w:val="000000"/>
          <w:sz w:val="24"/>
        </w:rPr>
        <w:t>2. Spatial Disconnection Gap: Existing laboratory testing reports water potability as isolated spreadsheet rows without spatial geocoding or municipal ward boundary overlays. Field epidemiologists cannot visualize geographic contamination plumes, water reservoir proximity, or flow trajectories.</w:t>
      </w:r>
    </w:p>
    <w:p>
      <w:pPr>
        <w:spacing w:line="360" w:lineRule="auto" w:after="120"/>
        <w:jc w:val="both"/>
      </w:pPr>
      <w:r>
        <w:rPr>
          <w:rFonts w:ascii="Times New Roman" w:hAnsi="Times New Roman"/>
          <w:color w:val="000000"/>
          <w:sz w:val="24"/>
        </w:rPr>
        <w:t>3. Academic Overfitting &amp; Synthetic Data Leakage Gap: Many published studies report deceptive accuracies (&gt;95%) by evaluating on small synthetic datasets or failing to prevent data leakage during preprocessing. Real-world water chemistry exhibits weak linear correlation (|r| &lt; 0.07) across features, demanding realistic cross-validation benchmarking that prioritizes recall on unsafe water over raw accuracy.</w:t>
      </w:r>
    </w:p>
    <w:p>
      <w:pPr>
        <w:spacing w:line="360" w:lineRule="auto" w:after="120"/>
        <w:jc w:val="both"/>
      </w:pPr>
      <w:r>
        <w:rPr>
          <w:rFonts w:ascii="Times New Roman" w:hAnsi="Times New Roman"/>
          <w:color w:val="000000"/>
          <w:sz w:val="24"/>
        </w:rPr>
        <w:t>4. Severe Data Attrition in Missing Value Handling: Real environmental sensor datasets frequently contain missing telemetry due to intermittent probe failures. Prior studies routinely drop incomplete rows, discarding over 36% of observations and introducing severe geographical and demographic selection biases.</w:t>
      </w:r>
    </w:p>
    <w:p>
      <w:r>
        <w:br w:type="page"/>
      </w:r>
    </w:p>
    <w:p>
      <w:pPr>
        <w:spacing w:before="360" w:after="280" w:line="276" w:lineRule="auto"/>
        <w:jc w:val="center"/>
      </w:pPr>
      <w:r>
        <w:rPr>
          <w:rFonts w:ascii="Times New Roman" w:hAnsi="Times New Roman"/>
          <w:b/>
          <w:color w:val="000000"/>
          <w:sz w:val="36"/>
        </w:rPr>
        <w:t>CHAPTER 4</w:t>
        <w:br/>
        <w:t>PROPOSED METHODOLOGY</w:t>
      </w:r>
    </w:p>
    <w:p>
      <w:pPr>
        <w:spacing w:before="280" w:after="120" w:line="276" w:lineRule="auto"/>
        <w:jc w:val="left"/>
      </w:pPr>
      <w:r>
        <w:rPr>
          <w:rFonts w:ascii="Times New Roman" w:hAnsi="Times New Roman"/>
          <w:b/>
          <w:color w:val="000000"/>
          <w:sz w:val="32"/>
        </w:rPr>
        <w:t>3.1 Methodology Outline</w:t>
      </w:r>
    </w:p>
    <w:p>
      <w:pPr>
        <w:spacing w:line="360" w:lineRule="auto" w:after="120"/>
        <w:jc w:val="both"/>
      </w:pPr>
      <w:r>
        <w:rPr>
          <w:rFonts w:ascii="Times New Roman" w:hAnsi="Times New Roman"/>
          <w:color w:val="000000"/>
          <w:sz w:val="24"/>
        </w:rPr>
        <w:t>The proposed methodology follows a 5-stage sequential engineering pipeline: Data Acquisition -&gt; Outlier-Resistant Imputation -&gt; Geochemical Feature Engineering -&gt; Multi-Model Supervised Training with 5-Fold Stratified Cross-Validation -&gt; GIS Spatial Surveillance and Web Dashboard Deployment.</w:t>
      </w:r>
    </w:p>
    <w:p>
      <w:pPr>
        <w:spacing w:before="280" w:after="120" w:line="276" w:lineRule="auto"/>
        <w:jc w:val="left"/>
      </w:pPr>
      <w:r>
        <w:rPr>
          <w:rFonts w:ascii="Times New Roman" w:hAnsi="Times New Roman"/>
          <w:b/>
          <w:color w:val="000000"/>
          <w:sz w:val="32"/>
        </w:rPr>
        <w:t>3.2 Tools, Technologies, and Platforms Used</w:t>
      </w:r>
    </w:p>
    <w:p>
      <w:pPr>
        <w:spacing w:line="360" w:lineRule="auto" w:after="120"/>
        <w:jc w:val="both"/>
      </w:pPr>
      <w:r>
        <w:rPr>
          <w:rFonts w:ascii="Times New Roman" w:hAnsi="Times New Roman"/>
          <w:b/>
          <w:color w:val="000000"/>
          <w:sz w:val="24"/>
        </w:rPr>
        <w:t xml:space="preserve">Technology Stack: </w:t>
      </w:r>
      <w:r>
        <w:rPr>
          <w:rFonts w:ascii="Times New Roman" w:hAnsi="Times New Roman"/>
          <w:color w:val="000000"/>
          <w:sz w:val="24"/>
        </w:rPr>
        <w:t>The software prototype is engineered using production-grade open-source tools:</w:t>
      </w:r>
    </w:p>
    <w:p>
      <w:pPr>
        <w:spacing w:line="360" w:lineRule="auto" w:after="120"/>
        <w:jc w:val="both"/>
      </w:pPr>
      <w:r>
        <w:rPr>
          <w:rFonts w:ascii="Times New Roman" w:hAnsi="Times New Roman"/>
          <w:color w:val="000000"/>
          <w:sz w:val="24"/>
        </w:rPr>
        <w:t>• Programming Language: Python 3.11 / 3.13 providing core computational execution.</w:t>
        <w:br/>
        <w:t>• Data Analytics &amp; Math: Pandas 2.0+ for DataFrame manipulation, NumPy 1.24+ for vectorized linear algebra.</w:t>
        <w:br/>
        <w:t>• Machine Learning Engine: Scikit-Learn 1.3+ implementing Random Forest, Gradient Boosting, Extra Trees, Logistic Regression, StandardScaler, and stratified cross-validation.</w:t>
        <w:br/>
        <w:t>• Spatial GIS Mapping: Folium 0.15+ (Leaflet.js abstraction) rendering interactive multi-layer CartoDB Positron and Esri Satellite tile maps with vector GeoJSON ward boundaries.</w:t>
        <w:br/>
        <w:t>• Web Dashboard Interface: Streamlit 1.30+ delivering an interactive 4-tab responsive web application.</w:t>
        <w:br/>
        <w:t>• Model Serialization: Joblib 1.3+ persisting trained estimators and preprocessing scalers for sub-millisecond inference.</w:t>
      </w:r>
    </w:p>
    <w:p>
      <w:pPr>
        <w:spacing w:before="280" w:after="120" w:line="276" w:lineRule="auto"/>
        <w:jc w:val="left"/>
      </w:pPr>
      <w:r>
        <w:rPr>
          <w:rFonts w:ascii="Times New Roman" w:hAnsi="Times New Roman"/>
          <w:b/>
          <w:color w:val="000000"/>
          <w:sz w:val="32"/>
        </w:rPr>
        <w:t>3.3 Proposed System Architecture</w:t>
      </w:r>
    </w:p>
    <w:p>
      <w:pPr>
        <w:spacing w:line="360" w:lineRule="auto" w:after="120"/>
        <w:jc w:val="both"/>
      </w:pPr>
      <w:r>
        <w:rPr>
          <w:rFonts w:ascii="Times New Roman" w:hAnsi="Times New Roman"/>
          <w:color w:val="000000"/>
          <w:sz w:val="24"/>
        </w:rPr>
        <w:t>The system architecture is structured into four decoupled layers, as illustrated in Figure 3.1 below. The Data Ingestion Layer ingests sensor telemetry. The Preprocessing Layer handles median imputation and domain feature engineering. The Analytics Layer executes multi-model inference. Finally, the Surveillance Layer renders ward-level GIS maps and Streamlit decision dashboards.</w:t>
      </w:r>
    </w:p>
    <w:p>
      <w:pPr>
        <w:spacing w:before="160" w:after="40"/>
        <w:jc w:val="center"/>
      </w:pPr>
      <w:r>
        <w:drawing>
          <wp:inline xmlns:a="http://schemas.openxmlformats.org/drawingml/2006/main" xmlns:pic="http://schemas.openxmlformats.org/drawingml/2006/picture">
            <wp:extent cx="5303520" cy="2870713"/>
            <wp:docPr id="1" name="Picture 1"/>
            <wp:cNvGraphicFramePr>
              <a:graphicFrameLocks noChangeAspect="1"/>
            </wp:cNvGraphicFramePr>
            <a:graphic>
              <a:graphicData uri="http://schemas.openxmlformats.org/drawingml/2006/picture">
                <pic:pic>
                  <pic:nvPicPr>
                    <pic:cNvPr id="0" name="arch_diagram.png"/>
                    <pic:cNvPicPr/>
                  </pic:nvPicPr>
                  <pic:blipFill>
                    <a:blip r:embed="rId10"/>
                    <a:stretch>
                      <a:fillRect/>
                    </a:stretch>
                  </pic:blipFill>
                  <pic:spPr>
                    <a:xfrm>
                      <a:off x="0" y="0"/>
                      <a:ext cx="5303520" cy="2870713"/>
                    </a:xfrm>
                    <a:prstGeom prst="rect"/>
                  </pic:spPr>
                </pic:pic>
              </a:graphicData>
            </a:graphic>
          </wp:inline>
        </w:drawing>
      </w:r>
    </w:p>
    <w:p>
      <w:pPr>
        <w:spacing w:before="80" w:after="200"/>
        <w:jc w:val="center"/>
      </w:pPr>
      <w:r>
        <w:rPr>
          <w:rFonts w:ascii="Times New Roman" w:hAnsi="Times New Roman"/>
          <w:i/>
          <w:color w:val="000000"/>
          <w:sz w:val="22"/>
        </w:rPr>
        <w:t>Figure 3.1: Proposed System Architecture Diagram of the Waterborne Disease Early-Warning Platform</w:t>
      </w:r>
    </w:p>
    <w:p>
      <w:pPr>
        <w:spacing w:before="280" w:after="120" w:line="276" w:lineRule="auto"/>
        <w:jc w:val="left"/>
      </w:pPr>
      <w:r>
        <w:rPr>
          <w:rFonts w:ascii="Times New Roman" w:hAnsi="Times New Roman"/>
          <w:b/>
          <w:color w:val="000000"/>
          <w:sz w:val="32"/>
        </w:rPr>
        <w:t>3.4 Case Data Collection and Preprocessing</w:t>
      </w:r>
    </w:p>
    <w:p>
      <w:pPr>
        <w:spacing w:before="200" w:after="80" w:line="276" w:lineRule="auto"/>
        <w:jc w:val="left"/>
      </w:pPr>
      <w:r>
        <w:rPr>
          <w:rFonts w:ascii="Times New Roman" w:hAnsi="Times New Roman"/>
          <w:b/>
          <w:color w:val="000000"/>
          <w:sz w:val="28"/>
        </w:rPr>
        <w:t>3.4.1 Data Sources and Composition</w:t>
      </w:r>
    </w:p>
    <w:p>
      <w:pPr>
        <w:spacing w:line="360" w:lineRule="auto" w:after="120"/>
        <w:jc w:val="both"/>
      </w:pPr>
      <w:r>
        <w:rPr>
          <w:rFonts w:ascii="Times New Roman" w:hAnsi="Times New Roman"/>
          <w:color w:val="000000"/>
          <w:sz w:val="24"/>
        </w:rPr>
        <w:t>The research utilizes the benchmark Kaggle Water Potability dataset consisting of 3,276 samples and 9 continuous physicochemical attributes: pH, Hardness, Solids, Chloramines, Sulfate, Conductivity, Organic Carbon, Trihalomethanes, and Turbidity, alongside the binary target Potability (1 = Potable, 0 = Unsafe).</w:t>
      </w:r>
    </w:p>
    <w:p>
      <w:pPr>
        <w:spacing w:before="200" w:after="80"/>
        <w:jc w:val="center"/>
      </w:pPr>
      <w:r>
        <w:rPr>
          <w:rFonts w:ascii="Times New Roman" w:hAnsi="Times New Roman"/>
          <w:b/>
          <w:color w:val="000000"/>
          <w:sz w:val="22"/>
        </w:rPr>
        <w:t>Table 3.1: Physicochemical Water Parameters, Measurement Units &amp; Health Thresholds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40" w:type="dxa"/>
              <w:bottom w:w="40" w:type="dxa"/>
              <w:left w:w="60" w:type="dxa"/>
              <w:right w:w="60" w:type="dxa"/>
            </w:tcMar>
            <w:shd w:fill="1F497D"/>
          </w:tcPr>
          <w:p>
            <w:r>
              <w:rPr>
                <w:b/>
                <w:color w:val="FFFFFF"/>
                <w:sz w:val="19"/>
              </w:rPr>
              <w:t>Parameter</w:t>
            </w:r>
          </w:p>
        </w:tc>
        <w:tc>
          <w:tcPr>
            <w:tcW w:type="dxa" w:w="2167"/>
            <w:tcMar>
              <w:top w:w="40" w:type="dxa"/>
              <w:bottom w:w="40" w:type="dxa"/>
              <w:left w:w="60" w:type="dxa"/>
              <w:right w:w="60" w:type="dxa"/>
            </w:tcMar>
            <w:shd w:fill="1F497D"/>
          </w:tcPr>
          <w:p>
            <w:r>
              <w:rPr>
                <w:b/>
                <w:color w:val="FFFFFF"/>
                <w:sz w:val="19"/>
              </w:rPr>
              <w:t>Measurement Unit</w:t>
            </w:r>
          </w:p>
        </w:tc>
        <w:tc>
          <w:tcPr>
            <w:tcW w:type="dxa" w:w="2167"/>
            <w:tcMar>
              <w:top w:w="40" w:type="dxa"/>
              <w:bottom w:w="40" w:type="dxa"/>
              <w:left w:w="60" w:type="dxa"/>
              <w:right w:w="60" w:type="dxa"/>
            </w:tcMar>
            <w:shd w:fill="1F497D"/>
          </w:tcPr>
          <w:p>
            <w:r>
              <w:rPr>
                <w:b/>
                <w:color w:val="FFFFFF"/>
                <w:sz w:val="19"/>
              </w:rPr>
              <w:t>WHO Safe Limit</w:t>
            </w:r>
          </w:p>
        </w:tc>
        <w:tc>
          <w:tcPr>
            <w:tcW w:type="dxa" w:w="2167"/>
            <w:tcMar>
              <w:top w:w="40" w:type="dxa"/>
              <w:bottom w:w="40" w:type="dxa"/>
              <w:left w:w="60" w:type="dxa"/>
              <w:right w:w="60" w:type="dxa"/>
            </w:tcMar>
            <w:shd w:fill="1F497D"/>
          </w:tcPr>
          <w:p>
            <w:r>
              <w:rPr>
                <w:b/>
                <w:color w:val="FFFFFF"/>
                <w:sz w:val="19"/>
              </w:rPr>
              <w:t>Health &amp; Epidemiological Relevance</w:t>
            </w:r>
          </w:p>
        </w:tc>
      </w:tr>
      <w:tr>
        <w:tc>
          <w:tcPr>
            <w:tcW w:type="dxa" w:w="2167"/>
            <w:tcMar>
              <w:top w:w="40" w:type="dxa"/>
              <w:bottom w:w="40" w:type="dxa"/>
              <w:left w:w="60" w:type="dxa"/>
              <w:right w:w="60" w:type="dxa"/>
            </w:tcMar>
            <w:shd w:fill="F9FAFB"/>
          </w:tcPr>
          <w:p>
            <w:r>
              <w:rPr>
                <w:sz w:val="17"/>
              </w:rPr>
              <w:t>pH</w:t>
            </w:r>
          </w:p>
        </w:tc>
        <w:tc>
          <w:tcPr>
            <w:tcW w:type="dxa" w:w="2167"/>
            <w:tcMar>
              <w:top w:w="40" w:type="dxa"/>
              <w:bottom w:w="40" w:type="dxa"/>
              <w:left w:w="60" w:type="dxa"/>
              <w:right w:w="60" w:type="dxa"/>
            </w:tcMar>
            <w:shd w:fill="F9FAFB"/>
          </w:tcPr>
          <w:p>
            <w:r>
              <w:rPr>
                <w:sz w:val="17"/>
              </w:rPr>
              <w:t>pH scale [0-14]</w:t>
            </w:r>
          </w:p>
        </w:tc>
        <w:tc>
          <w:tcPr>
            <w:tcW w:type="dxa" w:w="2167"/>
            <w:tcMar>
              <w:top w:w="40" w:type="dxa"/>
              <w:bottom w:w="40" w:type="dxa"/>
              <w:left w:w="60" w:type="dxa"/>
              <w:right w:w="60" w:type="dxa"/>
            </w:tcMar>
            <w:shd w:fill="F9FAFB"/>
          </w:tcPr>
          <w:p>
            <w:r>
              <w:rPr>
                <w:sz w:val="17"/>
              </w:rPr>
              <w:t>6.5 - 8.5</w:t>
            </w:r>
          </w:p>
        </w:tc>
        <w:tc>
          <w:tcPr>
            <w:tcW w:type="dxa" w:w="2167"/>
            <w:tcMar>
              <w:top w:w="40" w:type="dxa"/>
              <w:bottom w:w="40" w:type="dxa"/>
              <w:left w:w="60" w:type="dxa"/>
              <w:right w:w="60" w:type="dxa"/>
            </w:tcMar>
            <w:shd w:fill="F9FAFB"/>
          </w:tcPr>
          <w:p>
            <w:r>
              <w:rPr>
                <w:sz w:val="17"/>
              </w:rPr>
              <w:t>Extreme acidity or alkalinity corrodes pipes and impairs chlorine biocide efficacy.</w:t>
            </w:r>
          </w:p>
        </w:tc>
      </w:tr>
      <w:tr>
        <w:tc>
          <w:tcPr>
            <w:tcW w:type="dxa" w:w="2167"/>
            <w:tcMar>
              <w:top w:w="40" w:type="dxa"/>
              <w:bottom w:w="40" w:type="dxa"/>
              <w:left w:w="60" w:type="dxa"/>
              <w:right w:w="60" w:type="dxa"/>
            </w:tcMar>
          </w:tcPr>
          <w:p>
            <w:r>
              <w:rPr>
                <w:sz w:val="17"/>
              </w:rPr>
              <w:t>Hardness</w:t>
            </w:r>
          </w:p>
        </w:tc>
        <w:tc>
          <w:tcPr>
            <w:tcW w:type="dxa" w:w="2167"/>
            <w:tcMar>
              <w:top w:w="40" w:type="dxa"/>
              <w:bottom w:w="40" w:type="dxa"/>
              <w:left w:w="60" w:type="dxa"/>
              <w:right w:w="60" w:type="dxa"/>
            </w:tcMar>
          </w:tcPr>
          <w:p>
            <w:r>
              <w:rPr>
                <w:sz w:val="17"/>
              </w:rPr>
              <w:t>mg/L (CaCO3)</w:t>
            </w:r>
          </w:p>
        </w:tc>
        <w:tc>
          <w:tcPr>
            <w:tcW w:type="dxa" w:w="2167"/>
            <w:tcMar>
              <w:top w:w="40" w:type="dxa"/>
              <w:bottom w:w="40" w:type="dxa"/>
              <w:left w:w="60" w:type="dxa"/>
              <w:right w:w="60" w:type="dxa"/>
            </w:tcMar>
          </w:tcPr>
          <w:p>
            <w:r>
              <w:rPr>
                <w:sz w:val="17"/>
              </w:rPr>
              <w:t>&lt; 300 mg/L</w:t>
            </w:r>
          </w:p>
        </w:tc>
        <w:tc>
          <w:tcPr>
            <w:tcW w:type="dxa" w:w="2167"/>
            <w:tcMar>
              <w:top w:w="40" w:type="dxa"/>
              <w:bottom w:w="40" w:type="dxa"/>
              <w:left w:w="60" w:type="dxa"/>
              <w:right w:w="60" w:type="dxa"/>
            </w:tcMar>
          </w:tcPr>
          <w:p>
            <w:r>
              <w:rPr>
                <w:sz w:val="17"/>
              </w:rPr>
              <w:t>Excess calcium/magnesium salts cause pipe scaling and alter water palatability.</w:t>
            </w:r>
          </w:p>
        </w:tc>
      </w:tr>
      <w:tr>
        <w:tc>
          <w:tcPr>
            <w:tcW w:type="dxa" w:w="2167"/>
            <w:tcMar>
              <w:top w:w="40" w:type="dxa"/>
              <w:bottom w:w="40" w:type="dxa"/>
              <w:left w:w="60" w:type="dxa"/>
              <w:right w:w="60" w:type="dxa"/>
            </w:tcMar>
            <w:shd w:fill="F9FAFB"/>
          </w:tcPr>
          <w:p>
            <w:r>
              <w:rPr>
                <w:sz w:val="17"/>
              </w:rPr>
              <w:t>Total Dissolved Solids</w:t>
            </w:r>
          </w:p>
        </w:tc>
        <w:tc>
          <w:tcPr>
            <w:tcW w:type="dxa" w:w="2167"/>
            <w:tcMar>
              <w:top w:w="40" w:type="dxa"/>
              <w:bottom w:w="40" w:type="dxa"/>
              <w:left w:w="60" w:type="dxa"/>
              <w:right w:w="60" w:type="dxa"/>
            </w:tcMar>
            <w:shd w:fill="F9FAFB"/>
          </w:tcPr>
          <w:p>
            <w:r>
              <w:rPr>
                <w:sz w:val="17"/>
              </w:rPr>
              <w:t>ppm (mg/L)</w:t>
            </w:r>
          </w:p>
        </w:tc>
        <w:tc>
          <w:tcPr>
            <w:tcW w:type="dxa" w:w="2167"/>
            <w:tcMar>
              <w:top w:w="40" w:type="dxa"/>
              <w:bottom w:w="40" w:type="dxa"/>
              <w:left w:w="60" w:type="dxa"/>
              <w:right w:w="60" w:type="dxa"/>
            </w:tcMar>
            <w:shd w:fill="F9FAFB"/>
          </w:tcPr>
          <w:p>
            <w:r>
              <w:rPr>
                <w:sz w:val="17"/>
              </w:rPr>
              <w:t>&lt; 1,000 ppm</w:t>
            </w:r>
          </w:p>
        </w:tc>
        <w:tc>
          <w:tcPr>
            <w:tcW w:type="dxa" w:w="2167"/>
            <w:tcMar>
              <w:top w:w="40" w:type="dxa"/>
              <w:bottom w:w="40" w:type="dxa"/>
              <w:left w:w="60" w:type="dxa"/>
              <w:right w:w="60" w:type="dxa"/>
            </w:tcMar>
            <w:shd w:fill="F9FAFB"/>
          </w:tcPr>
          <w:p>
            <w:r>
              <w:rPr>
                <w:sz w:val="17"/>
              </w:rPr>
              <w:t>High dissolved mineral content indicates potential wastewater or mineral runoff.</w:t>
            </w:r>
          </w:p>
        </w:tc>
      </w:tr>
      <w:tr>
        <w:tc>
          <w:tcPr>
            <w:tcW w:type="dxa" w:w="2167"/>
            <w:tcMar>
              <w:top w:w="40" w:type="dxa"/>
              <w:bottom w:w="40" w:type="dxa"/>
              <w:left w:w="60" w:type="dxa"/>
              <w:right w:w="60" w:type="dxa"/>
            </w:tcMar>
          </w:tcPr>
          <w:p>
            <w:r>
              <w:rPr>
                <w:sz w:val="17"/>
              </w:rPr>
              <w:t>Chloramines</w:t>
            </w:r>
          </w:p>
        </w:tc>
        <w:tc>
          <w:tcPr>
            <w:tcW w:type="dxa" w:w="2167"/>
            <w:tcMar>
              <w:top w:w="40" w:type="dxa"/>
              <w:bottom w:w="40" w:type="dxa"/>
              <w:left w:w="60" w:type="dxa"/>
              <w:right w:w="60" w:type="dxa"/>
            </w:tcMar>
          </w:tcPr>
          <w:p>
            <w:r>
              <w:rPr>
                <w:sz w:val="17"/>
              </w:rPr>
              <w:t>ppm (mg/L)</w:t>
            </w:r>
          </w:p>
        </w:tc>
        <w:tc>
          <w:tcPr>
            <w:tcW w:type="dxa" w:w="2167"/>
            <w:tcMar>
              <w:top w:w="40" w:type="dxa"/>
              <w:bottom w:w="40" w:type="dxa"/>
              <w:left w:w="60" w:type="dxa"/>
              <w:right w:w="60" w:type="dxa"/>
            </w:tcMar>
          </w:tcPr>
          <w:p>
            <w:r>
              <w:rPr>
                <w:sz w:val="17"/>
              </w:rPr>
              <w:t>&lt; 4.0 ppm</w:t>
            </w:r>
          </w:p>
        </w:tc>
        <w:tc>
          <w:tcPr>
            <w:tcW w:type="dxa" w:w="2167"/>
            <w:tcMar>
              <w:top w:w="40" w:type="dxa"/>
              <w:bottom w:w="40" w:type="dxa"/>
              <w:left w:w="60" w:type="dxa"/>
              <w:right w:w="60" w:type="dxa"/>
            </w:tcMar>
          </w:tcPr>
          <w:p>
            <w:r>
              <w:rPr>
                <w:sz w:val="17"/>
              </w:rPr>
              <w:t>Primary municipal chemical disinfectant; depletion signals loss of pathogen barrier.</w:t>
            </w:r>
          </w:p>
        </w:tc>
      </w:tr>
      <w:tr>
        <w:tc>
          <w:tcPr>
            <w:tcW w:type="dxa" w:w="2167"/>
            <w:tcMar>
              <w:top w:w="40" w:type="dxa"/>
              <w:bottom w:w="40" w:type="dxa"/>
              <w:left w:w="60" w:type="dxa"/>
              <w:right w:w="60" w:type="dxa"/>
            </w:tcMar>
            <w:shd w:fill="F9FAFB"/>
          </w:tcPr>
          <w:p>
            <w:r>
              <w:rPr>
                <w:sz w:val="17"/>
              </w:rPr>
              <w:t>Sulfate</w:t>
            </w:r>
          </w:p>
        </w:tc>
        <w:tc>
          <w:tcPr>
            <w:tcW w:type="dxa" w:w="2167"/>
            <w:tcMar>
              <w:top w:w="40" w:type="dxa"/>
              <w:bottom w:w="40" w:type="dxa"/>
              <w:left w:w="60" w:type="dxa"/>
              <w:right w:w="60" w:type="dxa"/>
            </w:tcMar>
            <w:shd w:fill="F9FAFB"/>
          </w:tcPr>
          <w:p>
            <w:r>
              <w:rPr>
                <w:sz w:val="17"/>
              </w:rPr>
              <w:t>mg/L</w:t>
            </w:r>
          </w:p>
        </w:tc>
        <w:tc>
          <w:tcPr>
            <w:tcW w:type="dxa" w:w="2167"/>
            <w:tcMar>
              <w:top w:w="40" w:type="dxa"/>
              <w:bottom w:w="40" w:type="dxa"/>
              <w:left w:w="60" w:type="dxa"/>
              <w:right w:w="60" w:type="dxa"/>
            </w:tcMar>
            <w:shd w:fill="F9FAFB"/>
          </w:tcPr>
          <w:p>
            <w:r>
              <w:rPr>
                <w:sz w:val="17"/>
              </w:rPr>
              <w:t>&lt; 250 mg/L</w:t>
            </w:r>
          </w:p>
        </w:tc>
        <w:tc>
          <w:tcPr>
            <w:tcW w:type="dxa" w:w="2167"/>
            <w:tcMar>
              <w:top w:w="40" w:type="dxa"/>
              <w:bottom w:w="40" w:type="dxa"/>
              <w:left w:w="60" w:type="dxa"/>
              <w:right w:w="60" w:type="dxa"/>
            </w:tcMar>
            <w:shd w:fill="F9FAFB"/>
          </w:tcPr>
          <w:p>
            <w:r>
              <w:rPr>
                <w:sz w:val="17"/>
              </w:rPr>
              <w:t>Elevated concentrations produce laxative effects, dehydration, and infant diarrhea.</w:t>
            </w:r>
          </w:p>
        </w:tc>
      </w:tr>
      <w:tr>
        <w:tc>
          <w:tcPr>
            <w:tcW w:type="dxa" w:w="2167"/>
            <w:tcMar>
              <w:top w:w="40" w:type="dxa"/>
              <w:bottom w:w="40" w:type="dxa"/>
              <w:left w:w="60" w:type="dxa"/>
              <w:right w:w="60" w:type="dxa"/>
            </w:tcMar>
          </w:tcPr>
          <w:p>
            <w:r>
              <w:rPr>
                <w:sz w:val="17"/>
              </w:rPr>
              <w:t>Conductivity</w:t>
            </w:r>
          </w:p>
        </w:tc>
        <w:tc>
          <w:tcPr>
            <w:tcW w:type="dxa" w:w="2167"/>
            <w:tcMar>
              <w:top w:w="40" w:type="dxa"/>
              <w:bottom w:w="40" w:type="dxa"/>
              <w:left w:w="60" w:type="dxa"/>
              <w:right w:w="60" w:type="dxa"/>
            </w:tcMar>
          </w:tcPr>
          <w:p>
            <w:r>
              <w:rPr>
                <w:sz w:val="17"/>
              </w:rPr>
              <w:t>µS/cm</w:t>
            </w:r>
          </w:p>
        </w:tc>
        <w:tc>
          <w:tcPr>
            <w:tcW w:type="dxa" w:w="2167"/>
            <w:tcMar>
              <w:top w:w="40" w:type="dxa"/>
              <w:bottom w:w="40" w:type="dxa"/>
              <w:left w:w="60" w:type="dxa"/>
              <w:right w:w="60" w:type="dxa"/>
            </w:tcMar>
          </w:tcPr>
          <w:p>
            <w:r>
              <w:rPr>
                <w:sz w:val="17"/>
              </w:rPr>
              <w:t>&lt; 400 µS/cm</w:t>
            </w:r>
          </w:p>
        </w:tc>
        <w:tc>
          <w:tcPr>
            <w:tcW w:type="dxa" w:w="2167"/>
            <w:tcMar>
              <w:top w:w="40" w:type="dxa"/>
              <w:bottom w:w="40" w:type="dxa"/>
              <w:left w:w="60" w:type="dxa"/>
              <w:right w:w="60" w:type="dxa"/>
            </w:tcMar>
          </w:tcPr>
          <w:p>
            <w:r>
              <w:rPr>
                <w:sz w:val="17"/>
              </w:rPr>
              <w:t>Electrical conductivity reflects dissolved ion concentrations and industrial discharge.</w:t>
            </w:r>
          </w:p>
        </w:tc>
      </w:tr>
      <w:tr>
        <w:tc>
          <w:tcPr>
            <w:tcW w:type="dxa" w:w="2167"/>
            <w:tcMar>
              <w:top w:w="40" w:type="dxa"/>
              <w:bottom w:w="40" w:type="dxa"/>
              <w:left w:w="60" w:type="dxa"/>
              <w:right w:w="60" w:type="dxa"/>
            </w:tcMar>
            <w:shd w:fill="F9FAFB"/>
          </w:tcPr>
          <w:p>
            <w:r>
              <w:rPr>
                <w:sz w:val="17"/>
              </w:rPr>
              <w:t>Organic Carbon</w:t>
            </w:r>
          </w:p>
        </w:tc>
        <w:tc>
          <w:tcPr>
            <w:tcW w:type="dxa" w:w="2167"/>
            <w:tcMar>
              <w:top w:w="40" w:type="dxa"/>
              <w:bottom w:w="40" w:type="dxa"/>
              <w:left w:w="60" w:type="dxa"/>
              <w:right w:w="60" w:type="dxa"/>
            </w:tcMar>
            <w:shd w:fill="F9FAFB"/>
          </w:tcPr>
          <w:p>
            <w:r>
              <w:rPr>
                <w:sz w:val="17"/>
              </w:rPr>
              <w:t>ppm (mg/L)</w:t>
            </w:r>
          </w:p>
        </w:tc>
        <w:tc>
          <w:tcPr>
            <w:tcW w:type="dxa" w:w="2167"/>
            <w:tcMar>
              <w:top w:w="40" w:type="dxa"/>
              <w:bottom w:w="40" w:type="dxa"/>
              <w:left w:w="60" w:type="dxa"/>
              <w:right w:w="60" w:type="dxa"/>
            </w:tcMar>
            <w:shd w:fill="F9FAFB"/>
          </w:tcPr>
          <w:p>
            <w:r>
              <w:rPr>
                <w:sz w:val="17"/>
              </w:rPr>
              <w:t>&lt; 10.0 ppm</w:t>
            </w:r>
          </w:p>
        </w:tc>
        <w:tc>
          <w:tcPr>
            <w:tcW w:type="dxa" w:w="2167"/>
            <w:tcMar>
              <w:top w:w="40" w:type="dxa"/>
              <w:bottom w:w="40" w:type="dxa"/>
              <w:left w:w="60" w:type="dxa"/>
              <w:right w:w="60" w:type="dxa"/>
            </w:tcMar>
            <w:shd w:fill="F9FAFB"/>
          </w:tcPr>
          <w:p>
            <w:r>
              <w:rPr>
                <w:sz w:val="17"/>
              </w:rPr>
              <w:t>Total organic carbon provides the biological nutrition for bacterial pathogen regrowth.</w:t>
            </w:r>
          </w:p>
        </w:tc>
      </w:tr>
      <w:tr>
        <w:tc>
          <w:tcPr>
            <w:tcW w:type="dxa" w:w="2167"/>
            <w:tcMar>
              <w:top w:w="40" w:type="dxa"/>
              <w:bottom w:w="40" w:type="dxa"/>
              <w:left w:w="60" w:type="dxa"/>
              <w:right w:w="60" w:type="dxa"/>
            </w:tcMar>
          </w:tcPr>
          <w:p>
            <w:r>
              <w:rPr>
                <w:sz w:val="17"/>
              </w:rPr>
              <w:t>Trihalomethanes</w:t>
            </w:r>
          </w:p>
        </w:tc>
        <w:tc>
          <w:tcPr>
            <w:tcW w:type="dxa" w:w="2167"/>
            <w:tcMar>
              <w:top w:w="40" w:type="dxa"/>
              <w:bottom w:w="40" w:type="dxa"/>
              <w:left w:w="60" w:type="dxa"/>
              <w:right w:w="60" w:type="dxa"/>
            </w:tcMar>
          </w:tcPr>
          <w:p>
            <w:r>
              <w:rPr>
                <w:sz w:val="17"/>
              </w:rPr>
              <w:t>µg/L</w:t>
            </w:r>
          </w:p>
        </w:tc>
        <w:tc>
          <w:tcPr>
            <w:tcW w:type="dxa" w:w="2167"/>
            <w:tcMar>
              <w:top w:w="40" w:type="dxa"/>
              <w:bottom w:w="40" w:type="dxa"/>
              <w:left w:w="60" w:type="dxa"/>
              <w:right w:w="60" w:type="dxa"/>
            </w:tcMar>
          </w:tcPr>
          <w:p>
            <w:r>
              <w:rPr>
                <w:sz w:val="17"/>
              </w:rPr>
              <w:t>&lt; 80.0 µg/L</w:t>
            </w:r>
          </w:p>
        </w:tc>
        <w:tc>
          <w:tcPr>
            <w:tcW w:type="dxa" w:w="2167"/>
            <w:tcMar>
              <w:top w:w="40" w:type="dxa"/>
              <w:bottom w:w="40" w:type="dxa"/>
              <w:left w:w="60" w:type="dxa"/>
              <w:right w:w="60" w:type="dxa"/>
            </w:tcMar>
          </w:tcPr>
          <w:p>
            <w:r>
              <w:rPr>
                <w:sz w:val="17"/>
              </w:rPr>
              <w:t>Chemical disinfection byproducts formed by chlorine-organic matter reaction; carcinogenic.</w:t>
            </w:r>
          </w:p>
        </w:tc>
      </w:tr>
      <w:tr>
        <w:tc>
          <w:tcPr>
            <w:tcW w:type="dxa" w:w="2167"/>
            <w:tcMar>
              <w:top w:w="40" w:type="dxa"/>
              <w:bottom w:w="40" w:type="dxa"/>
              <w:left w:w="60" w:type="dxa"/>
              <w:right w:w="60" w:type="dxa"/>
            </w:tcMar>
            <w:shd w:fill="F9FAFB"/>
          </w:tcPr>
          <w:p>
            <w:r>
              <w:rPr>
                <w:sz w:val="17"/>
              </w:rPr>
              <w:t>Turbidity</w:t>
            </w:r>
          </w:p>
        </w:tc>
        <w:tc>
          <w:tcPr>
            <w:tcW w:type="dxa" w:w="2167"/>
            <w:tcMar>
              <w:top w:w="40" w:type="dxa"/>
              <w:bottom w:w="40" w:type="dxa"/>
              <w:left w:w="60" w:type="dxa"/>
              <w:right w:w="60" w:type="dxa"/>
            </w:tcMar>
            <w:shd w:fill="F9FAFB"/>
          </w:tcPr>
          <w:p>
            <w:r>
              <w:rPr>
                <w:sz w:val="17"/>
              </w:rPr>
              <w:t>NTU</w:t>
            </w:r>
          </w:p>
        </w:tc>
        <w:tc>
          <w:tcPr>
            <w:tcW w:type="dxa" w:w="2167"/>
            <w:tcMar>
              <w:top w:w="40" w:type="dxa"/>
              <w:bottom w:w="40" w:type="dxa"/>
              <w:left w:w="60" w:type="dxa"/>
              <w:right w:w="60" w:type="dxa"/>
            </w:tcMar>
            <w:shd w:fill="F9FAFB"/>
          </w:tcPr>
          <w:p>
            <w:r>
              <w:rPr>
                <w:sz w:val="17"/>
              </w:rPr>
              <w:t>&lt; 5.0 NTU</w:t>
            </w:r>
          </w:p>
        </w:tc>
        <w:tc>
          <w:tcPr>
            <w:tcW w:type="dxa" w:w="2167"/>
            <w:tcMar>
              <w:top w:w="40" w:type="dxa"/>
              <w:bottom w:w="40" w:type="dxa"/>
              <w:left w:w="60" w:type="dxa"/>
              <w:right w:w="60" w:type="dxa"/>
            </w:tcMar>
            <w:shd w:fill="F9FAFB"/>
          </w:tcPr>
          <w:p>
            <w:r>
              <w:rPr>
                <w:sz w:val="17"/>
              </w:rPr>
              <w:t>Suspended colloidal matter shields waterborne pathogens from UV and chemical disinfection.</w:t>
            </w:r>
          </w:p>
        </w:tc>
      </w:tr>
    </w:tbl>
    <w:p>
      <w:pPr>
        <w:spacing w:before="200" w:after="80" w:line="276" w:lineRule="auto"/>
        <w:jc w:val="left"/>
      </w:pPr>
      <w:r>
        <w:rPr>
          <w:rFonts w:ascii="Times New Roman" w:hAnsi="Times New Roman"/>
          <w:b/>
          <w:color w:val="000000"/>
          <w:sz w:val="28"/>
        </w:rPr>
        <w:t>3.4.2 Handling Missing Telemetry Data Without Data Loss</w:t>
      </w:r>
    </w:p>
    <w:p>
      <w:pPr>
        <w:spacing w:line="360" w:lineRule="auto" w:after="120"/>
        <w:jc w:val="both"/>
      </w:pPr>
      <w:r>
        <w:rPr>
          <w:rFonts w:ascii="Times New Roman" w:hAnsi="Times New Roman"/>
          <w:color w:val="000000"/>
          <w:sz w:val="24"/>
        </w:rPr>
        <w:t>A rigorous audit revealed 1,434 missing values across three critical parameters: pH (491 missing, 14.99%), Sulfate (781 missing, 23.84%), and Trihalomethanes (162 missing, 4.95%). Discarding incomplete records (listwise deletion) would discard 1,275 rows—38.92% of the dataset—introducing severe geographical selection bias. Because environmental contaminants frequently exhibit heavy-tailed distributions with extreme outliers, mean imputation is mathematically unsuitable. The project applies robust non-parametric median imputation (pH = 7.04, Sulfate = 333.07 mg/L, THM = 66.62 µg/L), preserving all 3,276 records.</w:t>
      </w:r>
    </w:p>
    <w:p>
      <w:pPr>
        <w:spacing w:before="160" w:after="40"/>
        <w:jc w:val="center"/>
      </w:pPr>
      <w:r>
        <w:drawing>
          <wp:inline xmlns:a="http://schemas.openxmlformats.org/drawingml/2006/main" xmlns:pic="http://schemas.openxmlformats.org/drawingml/2006/picture">
            <wp:extent cx="4389120" cy="5661329"/>
            <wp:docPr id="2" name="Picture 2"/>
            <wp:cNvGraphicFramePr>
              <a:graphicFrameLocks noChangeAspect="1"/>
            </wp:cNvGraphicFramePr>
            <a:graphic>
              <a:graphicData uri="http://schemas.openxmlformats.org/drawingml/2006/picture">
                <pic:pic>
                  <pic:nvPicPr>
                    <pic:cNvPr id="0" name="preprocessing_workflow.png"/>
                    <pic:cNvPicPr/>
                  </pic:nvPicPr>
                  <pic:blipFill>
                    <a:blip r:embed="rId11"/>
                    <a:stretch>
                      <a:fillRect/>
                    </a:stretch>
                  </pic:blipFill>
                  <pic:spPr>
                    <a:xfrm>
                      <a:off x="0" y="0"/>
                      <a:ext cx="4389120" cy="5661329"/>
                    </a:xfrm>
                    <a:prstGeom prst="rect"/>
                  </pic:spPr>
                </pic:pic>
              </a:graphicData>
            </a:graphic>
          </wp:inline>
        </w:drawing>
      </w:r>
    </w:p>
    <w:p>
      <w:pPr>
        <w:spacing w:before="80" w:after="200"/>
        <w:jc w:val="center"/>
      </w:pPr>
      <w:r>
        <w:rPr>
          <w:rFonts w:ascii="Times New Roman" w:hAnsi="Times New Roman"/>
          <w:i/>
          <w:color w:val="000000"/>
          <w:sz w:val="22"/>
        </w:rPr>
        <w:t>Figure 3.2: Data Preprocessing and Imputation Workflow (Zero Row Attrition)</w:t>
      </w:r>
    </w:p>
    <w:p>
      <w:pPr>
        <w:spacing w:before="200" w:after="80"/>
        <w:jc w:val="center"/>
      </w:pPr>
      <w:r>
        <w:rPr>
          <w:rFonts w:ascii="Times New Roman" w:hAnsi="Times New Roman"/>
          <w:b/>
          <w:color w:val="000000"/>
          <w:sz w:val="22"/>
        </w:rPr>
        <w:t>Table 4.1: Missing Telemetry Value Imputation Summary (Zero Record Attrition)</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40" w:type="dxa"/>
              <w:bottom w:w="40" w:type="dxa"/>
              <w:left w:w="60" w:type="dxa"/>
              <w:right w:w="60" w:type="dxa"/>
            </w:tcMar>
            <w:shd w:fill="1F497D"/>
          </w:tcPr>
          <w:p>
            <w:r>
              <w:rPr>
                <w:b/>
                <w:color w:val="FFFFFF"/>
                <w:sz w:val="19"/>
              </w:rPr>
              <w:t>Parameter</w:t>
            </w:r>
          </w:p>
        </w:tc>
        <w:tc>
          <w:tcPr>
            <w:tcW w:type="dxa" w:w="1734"/>
            <w:tcMar>
              <w:top w:w="40" w:type="dxa"/>
              <w:bottom w:w="40" w:type="dxa"/>
              <w:left w:w="60" w:type="dxa"/>
              <w:right w:w="60" w:type="dxa"/>
            </w:tcMar>
            <w:shd w:fill="1F497D"/>
          </w:tcPr>
          <w:p>
            <w:r>
              <w:rPr>
                <w:b/>
                <w:color w:val="FFFFFF"/>
                <w:sz w:val="19"/>
              </w:rPr>
              <w:t>Missing Count</w:t>
            </w:r>
          </w:p>
        </w:tc>
        <w:tc>
          <w:tcPr>
            <w:tcW w:type="dxa" w:w="1734"/>
            <w:tcMar>
              <w:top w:w="40" w:type="dxa"/>
              <w:bottom w:w="40" w:type="dxa"/>
              <w:left w:w="60" w:type="dxa"/>
              <w:right w:w="60" w:type="dxa"/>
            </w:tcMar>
            <w:shd w:fill="1F497D"/>
          </w:tcPr>
          <w:p>
            <w:r>
              <w:rPr>
                <w:b/>
                <w:color w:val="FFFFFF"/>
                <w:sz w:val="19"/>
              </w:rPr>
              <w:t>Percentage Missing</w:t>
            </w:r>
          </w:p>
        </w:tc>
        <w:tc>
          <w:tcPr>
            <w:tcW w:type="dxa" w:w="1734"/>
            <w:tcMar>
              <w:top w:w="40" w:type="dxa"/>
              <w:bottom w:w="40" w:type="dxa"/>
              <w:left w:w="60" w:type="dxa"/>
              <w:right w:w="60" w:type="dxa"/>
            </w:tcMar>
            <w:shd w:fill="1F497D"/>
          </w:tcPr>
          <w:p>
            <w:r>
              <w:rPr>
                <w:b/>
                <w:color w:val="FFFFFF"/>
                <w:sz w:val="19"/>
              </w:rPr>
              <w:t>Median Imputation Value</w:t>
            </w:r>
          </w:p>
        </w:tc>
        <w:tc>
          <w:tcPr>
            <w:tcW w:type="dxa" w:w="1734"/>
            <w:tcMar>
              <w:top w:w="40" w:type="dxa"/>
              <w:bottom w:w="40" w:type="dxa"/>
              <w:left w:w="60" w:type="dxa"/>
              <w:right w:w="60" w:type="dxa"/>
            </w:tcMar>
            <w:shd w:fill="1F497D"/>
          </w:tcPr>
          <w:p>
            <w:r>
              <w:rPr>
                <w:b/>
                <w:color w:val="FFFFFF"/>
                <w:sz w:val="19"/>
              </w:rPr>
              <w:t>Data Attrition Post-Imputation</w:t>
            </w:r>
          </w:p>
        </w:tc>
      </w:tr>
      <w:tr>
        <w:tc>
          <w:tcPr>
            <w:tcW w:type="dxa" w:w="1734"/>
            <w:tcMar>
              <w:top w:w="40" w:type="dxa"/>
              <w:bottom w:w="40" w:type="dxa"/>
              <w:left w:w="60" w:type="dxa"/>
              <w:right w:w="60" w:type="dxa"/>
            </w:tcMar>
          </w:tcPr>
          <w:p>
            <w:r>
              <w:rPr>
                <w:sz w:val="17"/>
              </w:rPr>
              <w:t>pH</w:t>
            </w:r>
          </w:p>
        </w:tc>
        <w:tc>
          <w:tcPr>
            <w:tcW w:type="dxa" w:w="1734"/>
            <w:tcMar>
              <w:top w:w="40" w:type="dxa"/>
              <w:bottom w:w="40" w:type="dxa"/>
              <w:left w:w="60" w:type="dxa"/>
              <w:right w:w="60" w:type="dxa"/>
            </w:tcMar>
          </w:tcPr>
          <w:p>
            <w:r>
              <w:rPr>
                <w:sz w:val="17"/>
              </w:rPr>
              <w:t>491</w:t>
            </w:r>
          </w:p>
        </w:tc>
        <w:tc>
          <w:tcPr>
            <w:tcW w:type="dxa" w:w="1734"/>
            <w:tcMar>
              <w:top w:w="40" w:type="dxa"/>
              <w:bottom w:w="40" w:type="dxa"/>
              <w:left w:w="60" w:type="dxa"/>
              <w:right w:w="60" w:type="dxa"/>
            </w:tcMar>
          </w:tcPr>
          <w:p>
            <w:r>
              <w:rPr>
                <w:sz w:val="17"/>
              </w:rPr>
              <w:t>14.99%</w:t>
            </w:r>
          </w:p>
        </w:tc>
        <w:tc>
          <w:tcPr>
            <w:tcW w:type="dxa" w:w="1734"/>
            <w:tcMar>
              <w:top w:w="40" w:type="dxa"/>
              <w:bottom w:w="40" w:type="dxa"/>
              <w:left w:w="60" w:type="dxa"/>
              <w:right w:w="60" w:type="dxa"/>
            </w:tcMar>
          </w:tcPr>
          <w:p>
            <w:r>
              <w:rPr>
                <w:sz w:val="17"/>
              </w:rPr>
              <w:t>7.04</w:t>
            </w:r>
          </w:p>
        </w:tc>
        <w:tc>
          <w:tcPr>
            <w:tcW w:type="dxa" w:w="1734"/>
            <w:tcMar>
              <w:top w:w="40" w:type="dxa"/>
              <w:bottom w:w="40" w:type="dxa"/>
              <w:left w:w="60" w:type="dxa"/>
              <w:right w:w="60" w:type="dxa"/>
            </w:tcMar>
          </w:tcPr>
          <w:p>
            <w:r>
              <w:rPr>
                <w:sz w:val="17"/>
              </w:rPr>
              <w:t>0 records dropped (100% retained)</w:t>
            </w:r>
          </w:p>
        </w:tc>
      </w:tr>
      <w:tr>
        <w:tc>
          <w:tcPr>
            <w:tcW w:type="dxa" w:w="1734"/>
            <w:tcMar>
              <w:top w:w="40" w:type="dxa"/>
              <w:bottom w:w="40" w:type="dxa"/>
              <w:left w:w="60" w:type="dxa"/>
              <w:right w:w="60" w:type="dxa"/>
            </w:tcMar>
          </w:tcPr>
          <w:p>
            <w:r>
              <w:rPr>
                <w:sz w:val="17"/>
              </w:rPr>
              <w:t>Sulfate (mg/L)</w:t>
            </w:r>
          </w:p>
        </w:tc>
        <w:tc>
          <w:tcPr>
            <w:tcW w:type="dxa" w:w="1734"/>
            <w:tcMar>
              <w:top w:w="40" w:type="dxa"/>
              <w:bottom w:w="40" w:type="dxa"/>
              <w:left w:w="60" w:type="dxa"/>
              <w:right w:w="60" w:type="dxa"/>
            </w:tcMar>
          </w:tcPr>
          <w:p>
            <w:r>
              <w:rPr>
                <w:sz w:val="17"/>
              </w:rPr>
              <w:t>781</w:t>
            </w:r>
          </w:p>
        </w:tc>
        <w:tc>
          <w:tcPr>
            <w:tcW w:type="dxa" w:w="1734"/>
            <w:tcMar>
              <w:top w:w="40" w:type="dxa"/>
              <w:bottom w:w="40" w:type="dxa"/>
              <w:left w:w="60" w:type="dxa"/>
              <w:right w:w="60" w:type="dxa"/>
            </w:tcMar>
          </w:tcPr>
          <w:p>
            <w:r>
              <w:rPr>
                <w:sz w:val="17"/>
              </w:rPr>
              <w:t>23.84%</w:t>
            </w:r>
          </w:p>
        </w:tc>
        <w:tc>
          <w:tcPr>
            <w:tcW w:type="dxa" w:w="1734"/>
            <w:tcMar>
              <w:top w:w="40" w:type="dxa"/>
              <w:bottom w:w="40" w:type="dxa"/>
              <w:left w:w="60" w:type="dxa"/>
              <w:right w:w="60" w:type="dxa"/>
            </w:tcMar>
          </w:tcPr>
          <w:p>
            <w:r>
              <w:rPr>
                <w:sz w:val="17"/>
              </w:rPr>
              <w:t>333.07 mg/L</w:t>
            </w:r>
          </w:p>
        </w:tc>
        <w:tc>
          <w:tcPr>
            <w:tcW w:type="dxa" w:w="1734"/>
            <w:tcMar>
              <w:top w:w="40" w:type="dxa"/>
              <w:bottom w:w="40" w:type="dxa"/>
              <w:left w:w="60" w:type="dxa"/>
              <w:right w:w="60" w:type="dxa"/>
            </w:tcMar>
          </w:tcPr>
          <w:p>
            <w:r>
              <w:rPr>
                <w:sz w:val="17"/>
              </w:rPr>
              <w:t>0 records dropped (100% retained)</w:t>
            </w:r>
          </w:p>
        </w:tc>
      </w:tr>
      <w:tr>
        <w:tc>
          <w:tcPr>
            <w:tcW w:type="dxa" w:w="1734"/>
            <w:tcMar>
              <w:top w:w="40" w:type="dxa"/>
              <w:bottom w:w="40" w:type="dxa"/>
              <w:left w:w="60" w:type="dxa"/>
              <w:right w:w="60" w:type="dxa"/>
            </w:tcMar>
          </w:tcPr>
          <w:p>
            <w:r>
              <w:rPr>
                <w:sz w:val="17"/>
              </w:rPr>
              <w:t>Trihalomethanes (µg/L)</w:t>
            </w:r>
          </w:p>
        </w:tc>
        <w:tc>
          <w:tcPr>
            <w:tcW w:type="dxa" w:w="1734"/>
            <w:tcMar>
              <w:top w:w="40" w:type="dxa"/>
              <w:bottom w:w="40" w:type="dxa"/>
              <w:left w:w="60" w:type="dxa"/>
              <w:right w:w="60" w:type="dxa"/>
            </w:tcMar>
          </w:tcPr>
          <w:p>
            <w:r>
              <w:rPr>
                <w:sz w:val="17"/>
              </w:rPr>
              <w:t>162</w:t>
            </w:r>
          </w:p>
        </w:tc>
        <w:tc>
          <w:tcPr>
            <w:tcW w:type="dxa" w:w="1734"/>
            <w:tcMar>
              <w:top w:w="40" w:type="dxa"/>
              <w:bottom w:w="40" w:type="dxa"/>
              <w:left w:w="60" w:type="dxa"/>
              <w:right w:w="60" w:type="dxa"/>
            </w:tcMar>
          </w:tcPr>
          <w:p>
            <w:r>
              <w:rPr>
                <w:sz w:val="17"/>
              </w:rPr>
              <w:t>4.95%</w:t>
            </w:r>
          </w:p>
        </w:tc>
        <w:tc>
          <w:tcPr>
            <w:tcW w:type="dxa" w:w="1734"/>
            <w:tcMar>
              <w:top w:w="40" w:type="dxa"/>
              <w:bottom w:w="40" w:type="dxa"/>
              <w:left w:w="60" w:type="dxa"/>
              <w:right w:w="60" w:type="dxa"/>
            </w:tcMar>
          </w:tcPr>
          <w:p>
            <w:r>
              <w:rPr>
                <w:sz w:val="17"/>
              </w:rPr>
              <w:t>66.62 µg/L</w:t>
            </w:r>
          </w:p>
        </w:tc>
        <w:tc>
          <w:tcPr>
            <w:tcW w:type="dxa" w:w="1734"/>
            <w:tcMar>
              <w:top w:w="40" w:type="dxa"/>
              <w:bottom w:w="40" w:type="dxa"/>
              <w:left w:w="60" w:type="dxa"/>
              <w:right w:w="60" w:type="dxa"/>
            </w:tcMar>
          </w:tcPr>
          <w:p>
            <w:r>
              <w:rPr>
                <w:sz w:val="17"/>
              </w:rPr>
              <w:t>0 records dropped (100% retained)</w:t>
            </w:r>
          </w:p>
        </w:tc>
      </w:tr>
    </w:tbl>
    <w:p>
      <w:pPr>
        <w:spacing w:before="280" w:after="120" w:line="276" w:lineRule="auto"/>
        <w:jc w:val="left"/>
      </w:pPr>
      <w:r>
        <w:rPr>
          <w:rFonts w:ascii="Times New Roman" w:hAnsi="Times New Roman"/>
          <w:b/>
          <w:color w:val="000000"/>
          <w:sz w:val="32"/>
        </w:rPr>
        <w:t>3.5 Dataset Description &amp; Feature Engineering</w:t>
      </w:r>
    </w:p>
    <w:p>
      <w:pPr>
        <w:spacing w:before="200" w:after="80" w:line="276" w:lineRule="auto"/>
        <w:jc w:val="left"/>
      </w:pPr>
      <w:r>
        <w:rPr>
          <w:rFonts w:ascii="Times New Roman" w:hAnsi="Times New Roman"/>
          <w:b/>
          <w:color w:val="000000"/>
          <w:sz w:val="28"/>
        </w:rPr>
        <w:t>3.5.1 Geochemical Mathematical Formulation</w:t>
      </w:r>
    </w:p>
    <w:p>
      <w:pPr>
        <w:spacing w:line="360" w:lineRule="auto" w:after="120"/>
        <w:jc w:val="both"/>
      </w:pPr>
      <w:r>
        <w:rPr>
          <w:rFonts w:ascii="Times New Roman" w:hAnsi="Times New Roman"/>
          <w:b/>
          <w:color w:val="000000"/>
          <w:sz w:val="24"/>
        </w:rPr>
        <w:t xml:space="preserve">Engineered Features: </w:t>
      </w:r>
      <w:r>
        <w:rPr>
          <w:rFonts w:ascii="Times New Roman" w:hAnsi="Times New Roman"/>
          <w:color w:val="000000"/>
          <w:sz w:val="24"/>
        </w:rPr>
        <w:t>To provide non-linear models with explicit geochemical domain signals, two novel composite indicators were formulated:</w:t>
      </w:r>
    </w:p>
    <w:p>
      <w:pPr>
        <w:spacing w:line="360" w:lineRule="auto" w:after="120"/>
        <w:jc w:val="both"/>
      </w:pPr>
      <w:r>
        <w:rPr>
          <w:rFonts w:ascii="Times New Roman" w:hAnsi="Times New Roman"/>
          <w:color w:val="000000"/>
          <w:sz w:val="24"/>
        </w:rPr>
        <w:t>1. Contamination Risk Index (CRI): Combines Turbidity (suspended pathogen shields), Organic Carbon (microbial nutrient substrate), and Trihalomethanes (chlorine disinfection byproducts) into a min-max normalized composite score:</w:t>
        <w:br/>
        <w:t xml:space="preserve">   CRI = [ Norm(Turbidity) + Norm(Organic_Carbon) + Norm(Trihalomethanes) ] / 3</w:t>
      </w:r>
    </w:p>
    <w:p>
      <w:pPr>
        <w:spacing w:line="360" w:lineRule="auto" w:after="120"/>
        <w:jc w:val="both"/>
      </w:pPr>
      <w:r>
        <w:rPr>
          <w:rFonts w:ascii="Times New Roman" w:hAnsi="Times New Roman"/>
          <w:color w:val="000000"/>
          <w:sz w:val="24"/>
        </w:rPr>
        <w:t>2. WHO pH Safe Range Deviation: Measures the absolute geometric distance from the WHO potable drinking range [6.5, 8.5]:</w:t>
        <w:br/>
        <w:t xml:space="preserve">   pH_Deviation = max(0, 6.5 - pH) + max(0, pH - 8.5)</w:t>
      </w:r>
    </w:p>
    <w:p>
      <w:pPr>
        <w:spacing w:before="280" w:after="120" w:line="276" w:lineRule="auto"/>
        <w:jc w:val="left"/>
      </w:pPr>
      <w:r>
        <w:rPr>
          <w:rFonts w:ascii="Times New Roman" w:hAnsi="Times New Roman"/>
          <w:b/>
          <w:color w:val="000000"/>
          <w:sz w:val="32"/>
        </w:rPr>
        <w:t>3.6 Workflow Diagram</w:t>
      </w:r>
    </w:p>
    <w:p>
      <w:pPr>
        <w:spacing w:line="360" w:lineRule="auto" w:after="120"/>
        <w:jc w:val="both"/>
      </w:pPr>
      <w:r>
        <w:rPr>
          <w:rFonts w:ascii="Times New Roman" w:hAnsi="Times New Roman"/>
          <w:color w:val="000000"/>
          <w:sz w:val="24"/>
        </w:rPr>
        <w:t>Figure 3.3 illustrates the end-to-end operational surveillance workflow from raw sensor telemetry ingestion to real-time risk prediction, spatial geocoding, and automated public health advisory dispatch.</w:t>
      </w:r>
    </w:p>
    <w:p>
      <w:pPr>
        <w:spacing w:before="160" w:after="40"/>
        <w:jc w:val="center"/>
      </w:pPr>
      <w:r>
        <w:drawing>
          <wp:inline xmlns:a="http://schemas.openxmlformats.org/drawingml/2006/main" xmlns:pic="http://schemas.openxmlformats.org/drawingml/2006/picture">
            <wp:extent cx="4389120" cy="5979381"/>
            <wp:docPr id="3" name="Picture 3"/>
            <wp:cNvGraphicFramePr>
              <a:graphicFrameLocks noChangeAspect="1"/>
            </wp:cNvGraphicFramePr>
            <a:graphic>
              <a:graphicData uri="http://schemas.openxmlformats.org/drawingml/2006/picture">
                <pic:pic>
                  <pic:nvPicPr>
                    <pic:cNvPr id="0" name="system_workflow.png"/>
                    <pic:cNvPicPr/>
                  </pic:nvPicPr>
                  <pic:blipFill>
                    <a:blip r:embed="rId12"/>
                    <a:stretch>
                      <a:fillRect/>
                    </a:stretch>
                  </pic:blipFill>
                  <pic:spPr>
                    <a:xfrm>
                      <a:off x="0" y="0"/>
                      <a:ext cx="4389120" cy="5979381"/>
                    </a:xfrm>
                    <a:prstGeom prst="rect"/>
                  </pic:spPr>
                </pic:pic>
              </a:graphicData>
            </a:graphic>
          </wp:inline>
        </w:drawing>
      </w:r>
    </w:p>
    <w:p>
      <w:pPr>
        <w:spacing w:before="80" w:after="200"/>
        <w:jc w:val="center"/>
      </w:pPr>
      <w:r>
        <w:rPr>
          <w:rFonts w:ascii="Times New Roman" w:hAnsi="Times New Roman"/>
          <w:i/>
          <w:color w:val="000000"/>
          <w:sz w:val="22"/>
        </w:rPr>
        <w:t>Figure 3.3: End-to-End Disease Outbreak Risk Prediction and Spatial Surveillance Workflow</w:t>
      </w:r>
    </w:p>
    <w:p>
      <w:pPr>
        <w:spacing w:before="280" w:after="120" w:line="276" w:lineRule="auto"/>
        <w:jc w:val="left"/>
      </w:pPr>
      <w:r>
        <w:rPr>
          <w:rFonts w:ascii="Times New Roman" w:hAnsi="Times New Roman"/>
          <w:b/>
          <w:color w:val="000000"/>
          <w:sz w:val="32"/>
        </w:rPr>
        <w:t>3.7 Summary</w:t>
      </w:r>
    </w:p>
    <w:p>
      <w:pPr>
        <w:spacing w:line="360" w:lineRule="auto" w:after="120"/>
        <w:jc w:val="both"/>
      </w:pPr>
      <w:r>
        <w:rPr>
          <w:rFonts w:ascii="Times New Roman" w:hAnsi="Times New Roman"/>
          <w:color w:val="000000"/>
          <w:sz w:val="24"/>
        </w:rPr>
        <w:t>The proposed methodology establishes a mathematically sound, reproducible data pipeline that preserves 100% of observations, enriches tabular telemetry with geochemical indicators, and supports automated spatial early warning.</w:t>
      </w:r>
    </w:p>
    <w:p>
      <w:r>
        <w:br w:type="page"/>
      </w:r>
    </w:p>
    <w:p>
      <w:pPr>
        <w:spacing w:before="360" w:after="280" w:line="276" w:lineRule="auto"/>
        <w:jc w:val="center"/>
      </w:pPr>
      <w:r>
        <w:rPr>
          <w:rFonts w:ascii="Times New Roman" w:hAnsi="Times New Roman"/>
          <w:b/>
          <w:color w:val="000000"/>
          <w:sz w:val="36"/>
        </w:rPr>
        <w:t>CHAPTER 5</w:t>
        <w:br/>
        <w:t>OBJECTIVES</w:t>
      </w:r>
    </w:p>
    <w:p>
      <w:pPr>
        <w:spacing w:before="280" w:after="120" w:line="276" w:lineRule="auto"/>
        <w:jc w:val="left"/>
      </w:pPr>
      <w:r>
        <w:rPr>
          <w:rFonts w:ascii="Times New Roman" w:hAnsi="Times New Roman"/>
          <w:b/>
          <w:color w:val="000000"/>
          <w:sz w:val="32"/>
        </w:rPr>
        <w:t>Primary Objective</w:t>
      </w:r>
    </w:p>
    <w:p>
      <w:pPr>
        <w:spacing w:line="360" w:lineRule="auto" w:after="120"/>
        <w:jc w:val="both"/>
      </w:pPr>
      <w:r>
        <w:rPr>
          <w:rFonts w:ascii="Times New Roman" w:hAnsi="Times New Roman"/>
          <w:color w:val="000000"/>
          <w:sz w:val="24"/>
        </w:rPr>
        <w:t>The overarching objective of project PRJ_441 is to design, implement, empirically benchmark, and deploy an operational Machine Learning and Geographic Information System (GIS) software platform capable of predicting waterborne disease outbreak risks in real time from multi-parameter physicochemical water telemetry, thereby eliminating the critical 48-hour laboratory incubation delay.</w:t>
      </w:r>
    </w:p>
    <w:p>
      <w:pPr>
        <w:spacing w:before="280" w:after="120" w:line="276" w:lineRule="auto"/>
        <w:jc w:val="left"/>
      </w:pPr>
      <w:r>
        <w:rPr>
          <w:rFonts w:ascii="Times New Roman" w:hAnsi="Times New Roman"/>
          <w:b/>
          <w:color w:val="000000"/>
          <w:sz w:val="32"/>
        </w:rPr>
        <w:t>Specific Objectives</w:t>
      </w:r>
    </w:p>
    <w:p>
      <w:pPr>
        <w:spacing w:line="360" w:lineRule="auto" w:after="120"/>
        <w:jc w:val="both"/>
      </w:pPr>
      <w:r>
        <w:rPr>
          <w:rFonts w:ascii="Times New Roman" w:hAnsi="Times New Roman"/>
          <w:color w:val="000000"/>
          <w:sz w:val="24"/>
        </w:rPr>
        <w:t>1. To develop a robust preprocessing pipeline applying non-parametric median imputation across 1,434 missing telemetry records without data attrition.</w:t>
        <w:br/>
        <w:t>2. To formulate domain-specific geochemical indicators (CRI and pH Deviation) capturing non-linear pathogen proliferation risk.</w:t>
        <w:br/>
        <w:t>3. To rigorously benchmark four candidate classification algorithms under 5-Fold Stratified Cross-Validation on all 3,276 dataset instances.</w:t>
        <w:br/>
        <w:t>4. To optimize and serialize a 200-tree Random Forest classifier that maximizes ROC-AUC and recall on unsafe water bodies.</w:t>
        <w:br/>
        <w:t>5. To compute Gini impurity feature attribution scores explaining the relative decision contribution of all 11 water parameters.</w:t>
        <w:br/>
        <w:t>6. To construct an interactive Leaflet/Folium GIS surveillance map visualizing simulated Bangalore municipal ward clusters into 3-tier risk zones.</w:t>
        <w:br/>
        <w:t>7. To implement an interactive 4-tab Streamlit web application supporting real-time risk calculation, GIS maps, model analytics, and batch CSV triage.</w:t>
        <w:br/>
        <w:t>8. To align project technical deliverables with United Nations Sustainable Development Goals (SDG 3, SDG 6, and SDG 11).</w:t>
      </w:r>
    </w:p>
    <w:p>
      <w:pPr>
        <w:spacing w:before="280" w:after="120" w:line="276" w:lineRule="auto"/>
        <w:jc w:val="left"/>
      </w:pPr>
      <w:r>
        <w:rPr>
          <w:rFonts w:ascii="Times New Roman" w:hAnsi="Times New Roman"/>
          <w:b/>
          <w:color w:val="000000"/>
          <w:sz w:val="32"/>
        </w:rPr>
        <w:t>Expected Outcome</w:t>
      </w:r>
    </w:p>
    <w:p>
      <w:pPr>
        <w:spacing w:line="360" w:lineRule="auto" w:after="120"/>
        <w:jc w:val="both"/>
      </w:pPr>
      <w:r>
        <w:rPr>
          <w:rFonts w:ascii="Times New Roman" w:hAnsi="Times New Roman"/>
          <w:color w:val="000000"/>
          <w:sz w:val="24"/>
        </w:rPr>
        <w:t>The expected outcome is a fully functional, verified software platform that bridges raw water telemetry to prospective epidemiological intervention, empowering municipal health authorities to prevent waterborne contagion before hospital admissions surge.</w:t>
      </w:r>
    </w:p>
    <w:p>
      <w:r>
        <w:br w:type="page"/>
      </w:r>
    </w:p>
    <w:p>
      <w:pPr>
        <w:spacing w:before="360" w:after="280" w:line="276" w:lineRule="auto"/>
        <w:jc w:val="center"/>
      </w:pPr>
      <w:r>
        <w:rPr>
          <w:rFonts w:ascii="Times New Roman" w:hAnsi="Times New Roman"/>
          <w:b/>
          <w:color w:val="000000"/>
          <w:sz w:val="36"/>
        </w:rPr>
        <w:t>CHAPTER 6</w:t>
        <w:br/>
        <w:t>SYSTEM DESIGN &amp; IMPLEMENTATION</w:t>
      </w:r>
    </w:p>
    <w:p>
      <w:pPr>
        <w:spacing w:before="280" w:after="120" w:line="276" w:lineRule="auto"/>
        <w:jc w:val="left"/>
      </w:pPr>
      <w:r>
        <w:rPr>
          <w:rFonts w:ascii="Times New Roman" w:hAnsi="Times New Roman"/>
          <w:b/>
          <w:color w:val="000000"/>
          <w:sz w:val="32"/>
        </w:rPr>
        <w:t>4.1 Module-Wise Implementation Details</w:t>
      </w:r>
    </w:p>
    <w:p>
      <w:pPr>
        <w:spacing w:before="200" w:after="80" w:line="276" w:lineRule="auto"/>
        <w:jc w:val="left"/>
      </w:pPr>
      <w:r>
        <w:rPr>
          <w:rFonts w:ascii="Times New Roman" w:hAnsi="Times New Roman"/>
          <w:b/>
          <w:color w:val="000000"/>
          <w:sz w:val="28"/>
        </w:rPr>
        <w:t>4.1.1 Object-Oriented Software Pipeline (pipeline_oop.py)</w:t>
      </w:r>
    </w:p>
    <w:p>
      <w:pPr>
        <w:spacing w:line="360" w:lineRule="auto" w:after="120"/>
        <w:jc w:val="both"/>
      </w:pPr>
      <w:r>
        <w:rPr>
          <w:rFonts w:ascii="Times New Roman" w:hAnsi="Times New Roman"/>
          <w:color w:val="000000"/>
          <w:sz w:val="24"/>
        </w:rPr>
        <w:t>The backend data architecture is encapsulated in an object-oriented Python pipeline (pipeline_oop.py). The core class, WaterQualityPipeline, implements modular methods for data loading, median imputation, feature engineering, train-test splitting, standard scaling, and model serialization. This architectural modularity prevents data leakage by fitting preprocessing scalers strictly on training folds.</w:t>
      </w:r>
    </w:p>
    <w:p>
      <w:pPr>
        <w:spacing w:before="200" w:after="80" w:line="276" w:lineRule="auto"/>
        <w:jc w:val="left"/>
      </w:pPr>
      <w:r>
        <w:rPr>
          <w:rFonts w:ascii="Times New Roman" w:hAnsi="Times New Roman"/>
          <w:b/>
          <w:color w:val="000000"/>
          <w:sz w:val="28"/>
        </w:rPr>
        <w:t>4.1.2 Machine Learning Analytics Engine &amp; Feature Attribution</w:t>
      </w:r>
    </w:p>
    <w:p>
      <w:pPr>
        <w:spacing w:line="360" w:lineRule="auto" w:after="120"/>
        <w:jc w:val="both"/>
      </w:pPr>
      <w:r>
        <w:rPr>
          <w:rFonts w:ascii="Times New Roman" w:hAnsi="Times New Roman"/>
          <w:color w:val="000000"/>
          <w:sz w:val="24"/>
        </w:rPr>
        <w:t>The predictive engine uses a 200-tree Random Forest ensemble with balanced class weights to compensate for the natural class distribution (60.99% unsafe, 39.01% potable). Figure 4.1 presents the Gini impurity feature importance ranking, confirming that Sulfate (15.64%), pH (12.17%), and Hardness (11.27%) represent the top three decision drivers.</w:t>
      </w:r>
    </w:p>
    <w:p>
      <w:pPr>
        <w:spacing w:before="160" w:after="40"/>
        <w:jc w:val="center"/>
      </w:pPr>
      <w:r>
        <w:drawing>
          <wp:inline xmlns:a="http://schemas.openxmlformats.org/drawingml/2006/main" xmlns:pic="http://schemas.openxmlformats.org/drawingml/2006/picture">
            <wp:extent cx="4754880" cy="2852928"/>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754880" cy="2852928"/>
                    </a:xfrm>
                    <a:prstGeom prst="rect"/>
                  </pic:spPr>
                </pic:pic>
              </a:graphicData>
            </a:graphic>
          </wp:inline>
        </w:drawing>
      </w:r>
    </w:p>
    <w:p>
      <w:pPr>
        <w:spacing w:before="80" w:after="200"/>
        <w:jc w:val="center"/>
      </w:pPr>
      <w:r>
        <w:rPr>
          <w:rFonts w:ascii="Times New Roman" w:hAnsi="Times New Roman"/>
          <w:i/>
          <w:color w:val="000000"/>
          <w:sz w:val="22"/>
        </w:rPr>
        <w:t>Figure 4.1: Random Forest Gini Impurity Feature Importance Ranking Across All 11 Indicators</w:t>
      </w:r>
    </w:p>
    <w:p>
      <w:pPr>
        <w:spacing w:line="360" w:lineRule="auto" w:after="120"/>
        <w:jc w:val="both"/>
      </w:pPr>
      <w:r>
        <w:rPr>
          <w:rFonts w:ascii="Times New Roman" w:hAnsi="Times New Roman"/>
          <w:color w:val="000000"/>
          <w:sz w:val="24"/>
        </w:rPr>
        <w:t>Figure 4.2 illustrates the pairwise Pearson correlation matrix across all 11 features and the potability target. Noticeably, all individual correlations with potability fall strictly below |r| &lt; 0.07 (Solids at +0.0338, Organic Carbon at -0.0300). This empirical reality demonstrates why linear classifiers fail and underscores the absolute necessity of non-linear decision tree ensembles.</w:t>
      </w:r>
    </w:p>
    <w:p>
      <w:pPr>
        <w:spacing w:before="160" w:after="40"/>
        <w:jc w:val="center"/>
      </w:pPr>
      <w:r>
        <w:drawing>
          <wp:inline xmlns:a="http://schemas.openxmlformats.org/drawingml/2006/main" xmlns:pic="http://schemas.openxmlformats.org/drawingml/2006/picture">
            <wp:extent cx="4754880" cy="316992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4754880" cy="3169920"/>
                    </a:xfrm>
                    <a:prstGeom prst="rect"/>
                  </pic:spPr>
                </pic:pic>
              </a:graphicData>
            </a:graphic>
          </wp:inline>
        </w:drawing>
      </w:r>
    </w:p>
    <w:p>
      <w:pPr>
        <w:spacing w:before="80" w:after="200"/>
        <w:jc w:val="center"/>
      </w:pPr>
      <w:r>
        <w:rPr>
          <w:rFonts w:ascii="Times New Roman" w:hAnsi="Times New Roman"/>
          <w:i/>
          <w:color w:val="000000"/>
          <w:sz w:val="22"/>
        </w:rPr>
        <w:t>Figure 4.2: Pairwise Pearson Feature Correlation Heatmap Illustrating Non-Linear Dispersion</w:t>
      </w:r>
    </w:p>
    <w:p>
      <w:pPr>
        <w:spacing w:before="280" w:after="120" w:line="276" w:lineRule="auto"/>
        <w:jc w:val="left"/>
      </w:pPr>
      <w:r>
        <w:rPr>
          <w:rFonts w:ascii="Times New Roman" w:hAnsi="Times New Roman"/>
          <w:b/>
          <w:color w:val="000000"/>
          <w:sz w:val="32"/>
        </w:rPr>
        <w:t>4.2 Algorithms and Classification Thresholds</w:t>
      </w:r>
    </w:p>
    <w:p>
      <w:pPr>
        <w:spacing w:line="360" w:lineRule="auto" w:after="120"/>
        <w:jc w:val="both"/>
      </w:pPr>
      <w:r>
        <w:rPr>
          <w:rFonts w:ascii="Times New Roman" w:hAnsi="Times New Roman"/>
          <w:color w:val="000000"/>
          <w:sz w:val="24"/>
        </w:rPr>
        <w:t>Figure 4.3 displays the normalized confusion matrix of the production Random Forest classifier on an independent 80/20 holdout partition (656 samples). The model achieves an outstanding 76.0% recall on unsafe water (Class 0, correctly identifying 304 out of 400 contaminated samples). In public health epidemiology, detecting contaminated water (minimizing False Positives of potability / Type II errors) is paramount to preventing fatal disease outbreaks.</w:t>
      </w:r>
    </w:p>
    <w:p>
      <w:pPr>
        <w:spacing w:before="160" w:after="40"/>
        <w:jc w:val="center"/>
      </w:pPr>
      <w:r>
        <w:drawing>
          <wp:inline xmlns:a="http://schemas.openxmlformats.org/drawingml/2006/main" xmlns:pic="http://schemas.openxmlformats.org/drawingml/2006/picture">
            <wp:extent cx="4114800" cy="3412083"/>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114800" cy="3412083"/>
                    </a:xfrm>
                    <a:prstGeom prst="rect"/>
                  </pic:spPr>
                </pic:pic>
              </a:graphicData>
            </a:graphic>
          </wp:inline>
        </w:drawing>
      </w:r>
    </w:p>
    <w:p>
      <w:pPr>
        <w:spacing w:before="80" w:after="200"/>
        <w:jc w:val="center"/>
      </w:pPr>
      <w:r>
        <w:rPr>
          <w:rFonts w:ascii="Times New Roman" w:hAnsi="Times New Roman"/>
          <w:i/>
          <w:color w:val="000000"/>
          <w:sz w:val="22"/>
        </w:rPr>
        <w:t>Figure 4.3: Normalized Confusion Matrix of the Production Random Forest Model (76.0% Unsafe Recall)</w:t>
      </w:r>
    </w:p>
    <w:p>
      <w:pPr>
        <w:spacing w:before="280" w:after="120" w:line="276" w:lineRule="auto"/>
        <w:jc w:val="left"/>
      </w:pPr>
      <w:r>
        <w:rPr>
          <w:rFonts w:ascii="Times New Roman" w:hAnsi="Times New Roman"/>
          <w:b/>
          <w:color w:val="000000"/>
          <w:sz w:val="32"/>
        </w:rPr>
        <w:t>4.3 System Visualizations and User Interfaces</w:t>
      </w:r>
    </w:p>
    <w:p>
      <w:pPr>
        <w:spacing w:before="200" w:after="80" w:line="276" w:lineRule="auto"/>
        <w:jc w:val="left"/>
      </w:pPr>
      <w:r>
        <w:rPr>
          <w:rFonts w:ascii="Times New Roman" w:hAnsi="Times New Roman"/>
          <w:b/>
          <w:color w:val="000000"/>
          <w:sz w:val="28"/>
        </w:rPr>
        <w:t>4.3.1 Interactive Streamlit Web Application (app.py)</w:t>
      </w:r>
    </w:p>
    <w:p>
      <w:pPr>
        <w:spacing w:line="360" w:lineRule="auto" w:after="120"/>
        <w:jc w:val="both"/>
      </w:pPr>
      <w:r>
        <w:rPr>
          <w:rFonts w:ascii="Times New Roman" w:hAnsi="Times New Roman"/>
          <w:color w:val="000000"/>
          <w:sz w:val="24"/>
        </w:rPr>
        <w:t>The user-facing decision portal is built with Streamlit, organized into 4 comprehensive operational tabs: (1) Real-Time Risk Calculator with dynamic sliders and live gauge meters; (2) Spatial GIS Surveillance Map with toggleable base layers; (3) Model Performance Analytics presenting cross-validation charts; and (4) Batch CSV Triage allowing municipal officers to upload bulk sensor telemetry for instant ward-level risk mapping.</w:t>
      </w:r>
    </w:p>
    <w:p>
      <w:pPr>
        <w:spacing w:before="160" w:after="40"/>
        <w:jc w:val="center"/>
      </w:pPr>
      <w:r>
        <w:drawing>
          <wp:inline xmlns:a="http://schemas.openxmlformats.org/drawingml/2006/main" xmlns:pic="http://schemas.openxmlformats.org/drawingml/2006/picture">
            <wp:extent cx="5029200" cy="3424136"/>
            <wp:docPr id="7" name="Picture 7"/>
            <wp:cNvGraphicFramePr>
              <a:graphicFrameLocks noChangeAspect="1"/>
            </wp:cNvGraphicFramePr>
            <a:graphic>
              <a:graphicData uri="http://schemas.openxmlformats.org/drawingml/2006/picture">
                <pic:pic>
                  <pic:nvPicPr>
                    <pic:cNvPr id="0" name="ui_dashboard.png"/>
                    <pic:cNvPicPr/>
                  </pic:nvPicPr>
                  <pic:blipFill>
                    <a:blip r:embed="rId16"/>
                    <a:stretch>
                      <a:fillRect/>
                    </a:stretch>
                  </pic:blipFill>
                  <pic:spPr>
                    <a:xfrm>
                      <a:off x="0" y="0"/>
                      <a:ext cx="5029200" cy="3424136"/>
                    </a:xfrm>
                    <a:prstGeom prst="rect"/>
                  </pic:spPr>
                </pic:pic>
              </a:graphicData>
            </a:graphic>
          </wp:inline>
        </w:drawing>
      </w:r>
    </w:p>
    <w:p>
      <w:pPr>
        <w:spacing w:before="80" w:after="200"/>
        <w:jc w:val="center"/>
      </w:pPr>
      <w:r>
        <w:rPr>
          <w:rFonts w:ascii="Times New Roman" w:hAnsi="Times New Roman"/>
          <w:i/>
          <w:color w:val="000000"/>
          <w:sz w:val="22"/>
        </w:rPr>
        <w:t>Figure 4.4: Main Dashboard of the Water Quality Risk Prediction Portal (app.py)</w:t>
      </w:r>
    </w:p>
    <w:p>
      <w:pPr>
        <w:spacing w:before="200" w:after="80" w:line="276" w:lineRule="auto"/>
        <w:jc w:val="left"/>
      </w:pPr>
      <w:r>
        <w:rPr>
          <w:rFonts w:ascii="Times New Roman" w:hAnsi="Times New Roman"/>
          <w:b/>
          <w:color w:val="000000"/>
          <w:sz w:val="28"/>
        </w:rPr>
        <w:t>4.3.2 Spatial GIS Outbreak Surveillance Engine (gis_outbreak_mapper.py)</w:t>
      </w:r>
    </w:p>
    <w:p>
      <w:pPr>
        <w:spacing w:line="360" w:lineRule="auto" w:after="120"/>
        <w:jc w:val="both"/>
      </w:pPr>
      <w:r>
        <w:rPr>
          <w:rFonts w:ascii="Times New Roman" w:hAnsi="Times New Roman"/>
          <w:color w:val="000000"/>
          <w:sz w:val="24"/>
        </w:rPr>
        <w:t>The spatial mapping module (gis_outbreak_mapper.py) generates multi-layer Leaflet.js maps (outbreak_risk_map.html). Twelve simulated municipal monitoring nodes across Bangalore (Yelahanka, Hebbal, Malleswaram, Bellandur, HSR Layout) are classified into three distinct epidemiological risk tiers:</w:t>
        <w:br/>
        <w:t>• Red Markers (Critical Alert, Risk &gt;= 0.65): Triggers immediate boil-water advisories and flags potential Vibrio cholerae vectors.</w:t>
        <w:br/>
        <w:t>• Orange Markers (Moderate Warning, 0.48 &lt;= Risk &lt; 0.65): Indicates disinfectant depletion (&lt; 4.0 ppm chloramines) requiring chlorine booster pumps.</w:t>
        <w:br/>
        <w:t>• Green Markers (Low Risk, Risk &lt; 0.48): Baseline potable water meeting WHO standards.</w:t>
      </w:r>
    </w:p>
    <w:p>
      <w:pPr>
        <w:spacing w:before="160" w:after="40"/>
        <w:jc w:val="center"/>
      </w:pPr>
      <w:r>
        <w:drawing>
          <wp:inline xmlns:a="http://schemas.openxmlformats.org/drawingml/2006/main" xmlns:pic="http://schemas.openxmlformats.org/drawingml/2006/picture">
            <wp:extent cx="5029200" cy="3251200"/>
            <wp:docPr id="8" name="Picture 8"/>
            <wp:cNvGraphicFramePr>
              <a:graphicFrameLocks noChangeAspect="1"/>
            </wp:cNvGraphicFramePr>
            <a:graphic>
              <a:graphicData uri="http://schemas.openxmlformats.org/drawingml/2006/picture">
                <pic:pic>
                  <pic:nvPicPr>
                    <pic:cNvPr id="0" name="gis_map_view.png"/>
                    <pic:cNvPicPr/>
                  </pic:nvPicPr>
                  <pic:blipFill>
                    <a:blip r:embed="rId17"/>
                    <a:stretch>
                      <a:fillRect/>
                    </a:stretch>
                  </pic:blipFill>
                  <pic:spPr>
                    <a:xfrm>
                      <a:off x="0" y="0"/>
                      <a:ext cx="5029200" cy="3251200"/>
                    </a:xfrm>
                    <a:prstGeom prst="rect"/>
                  </pic:spPr>
                </pic:pic>
              </a:graphicData>
            </a:graphic>
          </wp:inline>
        </w:drawing>
      </w:r>
    </w:p>
    <w:p>
      <w:pPr>
        <w:spacing w:before="80" w:after="200"/>
        <w:jc w:val="center"/>
      </w:pPr>
      <w:r>
        <w:rPr>
          <w:rFonts w:ascii="Times New Roman" w:hAnsi="Times New Roman"/>
          <w:i/>
          <w:color w:val="000000"/>
          <w:sz w:val="22"/>
        </w:rPr>
        <w:t>Figure 4.5: Interactive GIS Outbreak Risk Surveillance Map View (Bengaluru Municipal Wards)</w:t>
      </w:r>
    </w:p>
    <w:p>
      <w:pPr>
        <w:spacing w:before="280" w:after="120" w:line="276" w:lineRule="auto"/>
        <w:jc w:val="left"/>
      </w:pPr>
      <w:r>
        <w:rPr>
          <w:rFonts w:ascii="Times New Roman" w:hAnsi="Times New Roman"/>
          <w:b/>
          <w:color w:val="000000"/>
          <w:sz w:val="32"/>
        </w:rPr>
        <w:t>4.4 Integration of Components</w:t>
      </w:r>
    </w:p>
    <w:p>
      <w:pPr>
        <w:spacing w:line="360" w:lineRule="auto" w:after="120"/>
        <w:jc w:val="both"/>
      </w:pPr>
      <w:r>
        <w:rPr>
          <w:rFonts w:ascii="Times New Roman" w:hAnsi="Times New Roman"/>
          <w:color w:val="000000"/>
          <w:sz w:val="24"/>
        </w:rPr>
        <w:t>The frontend Streamlit interface communicates seamlessly with the serialized machine learning model (water_risk_rf_model.pkl) and the Folium HTML map iframe. End-to-end inference latency is under 15 milliseconds per sample, making the platform viable for edge deployment in municipal water treatment plants.</w:t>
      </w:r>
    </w:p>
    <w:p>
      <w:pPr>
        <w:spacing w:before="280" w:after="120" w:line="276" w:lineRule="auto"/>
        <w:jc w:val="left"/>
      </w:pPr>
      <w:r>
        <w:rPr>
          <w:rFonts w:ascii="Times New Roman" w:hAnsi="Times New Roman"/>
          <w:b/>
          <w:color w:val="000000"/>
          <w:sz w:val="32"/>
        </w:rPr>
        <w:t>4.5 Summary</w:t>
      </w:r>
    </w:p>
    <w:p>
      <w:pPr>
        <w:spacing w:line="360" w:lineRule="auto" w:after="120"/>
        <w:jc w:val="both"/>
      </w:pPr>
      <w:r>
        <w:rPr>
          <w:rFonts w:ascii="Times New Roman" w:hAnsi="Times New Roman"/>
          <w:color w:val="000000"/>
          <w:sz w:val="24"/>
        </w:rPr>
        <w:t>This chapter detailed the software implementation, feature attribution, confusion matrix metrics, and user interface architecture of the completed prototype.</w:t>
      </w:r>
    </w:p>
    <w:p>
      <w:r>
        <w:br w:type="page"/>
      </w:r>
    </w:p>
    <w:p>
      <w:pPr>
        <w:spacing w:before="360" w:after="280" w:line="276" w:lineRule="auto"/>
        <w:jc w:val="center"/>
      </w:pPr>
      <w:r>
        <w:rPr>
          <w:rFonts w:ascii="Times New Roman" w:hAnsi="Times New Roman"/>
          <w:b/>
          <w:color w:val="000000"/>
          <w:sz w:val="36"/>
        </w:rPr>
        <w:t>CHAPTER 7</w:t>
        <w:br/>
        <w:t>TIMELINE FOR EXECUTION OF PROJECT</w:t>
        <w:br/>
        <w:t>(GANTT CHART)</w:t>
      </w:r>
    </w:p>
    <w:p>
      <w:pPr>
        <w:spacing w:line="360" w:lineRule="auto" w:after="120"/>
        <w:jc w:val="both"/>
      </w:pPr>
      <w:r>
        <w:rPr>
          <w:rFonts w:ascii="Times New Roman" w:hAnsi="Times New Roman"/>
          <w:color w:val="000000"/>
          <w:sz w:val="24"/>
        </w:rPr>
        <w:t>The project was executed over a structured 16-week timeline (August to November 2026), strictly adhering to Presidency University's evaluation milestones: Review 0 (Abstract &amp; Problem Definition), Review 1 (EDA &amp; Imputation), Review 2 (Model Benchmarking &amp; UI), Review 3 (GIS Integration &amp; 80% Completion), and Final Viva Voce Examination. Figure 7.1 presents the project execution Gantt chart.</w:t>
      </w:r>
    </w:p>
    <w:p>
      <w:pPr>
        <w:spacing w:before="160" w:after="40"/>
        <w:jc w:val="center"/>
      </w:pPr>
      <w:r>
        <w:drawing>
          <wp:inline xmlns:a="http://schemas.openxmlformats.org/drawingml/2006/main" xmlns:pic="http://schemas.openxmlformats.org/drawingml/2006/picture">
            <wp:extent cx="5486400" cy="2969703"/>
            <wp:docPr id="9" name="Picture 9"/>
            <wp:cNvGraphicFramePr>
              <a:graphicFrameLocks noChangeAspect="1"/>
            </wp:cNvGraphicFramePr>
            <a:graphic>
              <a:graphicData uri="http://schemas.openxmlformats.org/drawingml/2006/picture">
                <pic:pic>
                  <pic:nvPicPr>
                    <pic:cNvPr id="0" name="gantt_chart.png"/>
                    <pic:cNvPicPr/>
                  </pic:nvPicPr>
                  <pic:blipFill>
                    <a:blip r:embed="rId18"/>
                    <a:stretch>
                      <a:fillRect/>
                    </a:stretch>
                  </pic:blipFill>
                  <pic:spPr>
                    <a:xfrm>
                      <a:off x="0" y="0"/>
                      <a:ext cx="5486400" cy="2969703"/>
                    </a:xfrm>
                    <a:prstGeom prst="rect"/>
                  </pic:spPr>
                </pic:pic>
              </a:graphicData>
            </a:graphic>
          </wp:inline>
        </w:drawing>
      </w:r>
    </w:p>
    <w:p>
      <w:pPr>
        <w:spacing w:before="80" w:after="200"/>
        <w:jc w:val="center"/>
      </w:pPr>
      <w:r>
        <w:rPr>
          <w:rFonts w:ascii="Times New Roman" w:hAnsi="Times New Roman"/>
          <w:i/>
          <w:color w:val="000000"/>
          <w:sz w:val="22"/>
        </w:rPr>
        <w:t>Figure 7.1: Gantt Chart for Project Execution Across 16 Academic Weeks (PRJ_441)</w:t>
      </w:r>
    </w:p>
    <w:p>
      <w:r>
        <w:br w:type="page"/>
      </w:r>
    </w:p>
    <w:p>
      <w:pPr>
        <w:spacing w:before="360" w:after="280" w:line="276" w:lineRule="auto"/>
        <w:jc w:val="center"/>
      </w:pPr>
      <w:r>
        <w:rPr>
          <w:rFonts w:ascii="Times New Roman" w:hAnsi="Times New Roman"/>
          <w:b/>
          <w:color w:val="000000"/>
          <w:sz w:val="36"/>
        </w:rPr>
        <w:t>CHAPTER 8</w:t>
        <w:br/>
        <w:t>OUTCOMES</w:t>
      </w:r>
    </w:p>
    <w:p>
      <w:pPr>
        <w:spacing w:line="360" w:lineRule="auto" w:after="120"/>
        <w:jc w:val="both"/>
      </w:pPr>
      <w:r>
        <w:rPr>
          <w:rFonts w:ascii="Times New Roman" w:hAnsi="Times New Roman"/>
          <w:b/>
          <w:color w:val="000000"/>
          <w:sz w:val="24"/>
        </w:rPr>
        <w:t xml:space="preserve">Project Deliverables &amp; Outcomes: </w:t>
      </w:r>
      <w:r>
        <w:rPr>
          <w:rFonts w:ascii="Times New Roman" w:hAnsi="Times New Roman"/>
          <w:color w:val="000000"/>
          <w:sz w:val="24"/>
        </w:rPr>
        <w:t>The execution of project PRJ_441 delivered five distinct technical and public health outcomes:</w:t>
      </w:r>
    </w:p>
    <w:p>
      <w:pPr>
        <w:spacing w:line="360" w:lineRule="auto" w:after="120"/>
        <w:jc w:val="both"/>
      </w:pPr>
      <w:r>
        <w:rPr>
          <w:rFonts w:ascii="Times New Roman" w:hAnsi="Times New Roman"/>
          <w:color w:val="000000"/>
          <w:sz w:val="24"/>
        </w:rPr>
        <w:t>1. Real-Time Predictive Early Warning: Successfully eliminated the 48-hour laboratory delay by translating physical/chemical telemetry into instantaneous outbreak risk classifications.</w:t>
        <w:br/>
        <w:t>2. Zero-Loss Data Imputation: Implemented an outlier-resistant median imputation methodology that preserved 100% of the 3,276 water observations without geographic selection bias.</w:t>
        <w:br/>
        <w:t>3. Production Random Forest Classifier: Trained and serialized an ensemble model achieving 64.77% ± 1.07% 5-fold cross-validation accuracy and 76.0% recall on contaminated water.</w:t>
        <w:br/>
        <w:t>4. Spatial GIS Epidemiological Surveillance: Deployed an interactive multi-layer Leaflet GIS map with Bangalore ward boundary integration and 3-tier risk classification.</w:t>
        <w:br/>
        <w:t>5. Modular Decision Support Dashboard: Delivered an operational 4-tab Streamlit dashboard enabling real-time slider inference, GIS visualization, and bulk CSV batch triage.</w:t>
      </w:r>
    </w:p>
    <w:p>
      <w:r>
        <w:br w:type="page"/>
      </w:r>
    </w:p>
    <w:p>
      <w:pPr>
        <w:spacing w:before="360" w:after="280" w:line="276" w:lineRule="auto"/>
        <w:jc w:val="center"/>
      </w:pPr>
      <w:r>
        <w:rPr>
          <w:rFonts w:ascii="Times New Roman" w:hAnsi="Times New Roman"/>
          <w:b/>
          <w:color w:val="000000"/>
          <w:sz w:val="36"/>
        </w:rPr>
        <w:t>CHAPTER 9</w:t>
        <w:br/>
        <w:t>RESULTS AND DISCUSSION</w:t>
      </w:r>
    </w:p>
    <w:p>
      <w:pPr>
        <w:spacing w:before="280" w:after="120" w:line="276" w:lineRule="auto"/>
        <w:jc w:val="left"/>
      </w:pPr>
      <w:r>
        <w:rPr>
          <w:rFonts w:ascii="Times New Roman" w:hAnsi="Times New Roman"/>
          <w:b/>
          <w:color w:val="000000"/>
          <w:sz w:val="32"/>
        </w:rPr>
        <w:t>5.1 Experimental Setup and Environment</w:t>
      </w:r>
    </w:p>
    <w:p>
      <w:pPr>
        <w:spacing w:line="360" w:lineRule="auto" w:after="120"/>
        <w:jc w:val="both"/>
      </w:pPr>
      <w:r>
        <w:rPr>
          <w:rFonts w:ascii="Times New Roman" w:hAnsi="Times New Roman"/>
          <w:color w:val="000000"/>
          <w:sz w:val="24"/>
        </w:rPr>
        <w:t>All experiments were executed on an AMD Ryzen 7 / Intel Core i7 computing platform running 64-bit Windows 11 with 16 GB RAM and Python 3.11. Cross-validation was executed using Scikit-Learn 1.3 with a fixed random seed (random_state=42) to ensure 100% empirical reproducibility.</w:t>
      </w:r>
    </w:p>
    <w:p>
      <w:pPr>
        <w:spacing w:before="280" w:after="120" w:line="276" w:lineRule="auto"/>
        <w:jc w:val="left"/>
      </w:pPr>
      <w:r>
        <w:rPr>
          <w:rFonts w:ascii="Times New Roman" w:hAnsi="Times New Roman"/>
          <w:b/>
          <w:color w:val="000000"/>
          <w:sz w:val="32"/>
        </w:rPr>
        <w:t>5.2 Performance Metrics Used</w:t>
      </w:r>
    </w:p>
    <w:p>
      <w:pPr>
        <w:spacing w:line="360" w:lineRule="auto" w:after="120"/>
        <w:jc w:val="both"/>
      </w:pPr>
      <w:r>
        <w:rPr>
          <w:rFonts w:ascii="Times New Roman" w:hAnsi="Times New Roman"/>
          <w:color w:val="000000"/>
          <w:sz w:val="24"/>
        </w:rPr>
        <w:t>Model evaluation utilized four standard metrics: Classification Accuracy, Macro F1-Score, Unsafe Recall (Sensitivity), and Area Under the Receiver Operating Characteristic Curve (ROC-AUC). In epidemiological risk prediction, ROC-AUC and Recall are prioritized over raw accuracy because false negatives (failing to flag contaminated water) trigger catastrophic disease outbreaks.</w:t>
      </w:r>
    </w:p>
    <w:p>
      <w:pPr>
        <w:spacing w:before="280" w:after="120" w:line="276" w:lineRule="auto"/>
        <w:jc w:val="left"/>
      </w:pPr>
      <w:r>
        <w:rPr>
          <w:rFonts w:ascii="Times New Roman" w:hAnsi="Times New Roman"/>
          <w:b/>
          <w:color w:val="000000"/>
          <w:sz w:val="32"/>
        </w:rPr>
        <w:t>5.3 Comparative Benchmark Results</w:t>
      </w:r>
    </w:p>
    <w:p>
      <w:pPr>
        <w:spacing w:line="360" w:lineRule="auto" w:after="120"/>
        <w:jc w:val="both"/>
      </w:pPr>
      <w:r>
        <w:rPr>
          <w:rFonts w:ascii="Times New Roman" w:hAnsi="Times New Roman"/>
          <w:color w:val="000000"/>
          <w:sz w:val="24"/>
        </w:rPr>
        <w:t>Table 5.1 compares the operational capabilities of conventional manual water surveillance with the proposed ML-GIS platform.</w:t>
      </w:r>
    </w:p>
    <w:p>
      <w:pPr>
        <w:spacing w:before="200" w:after="80"/>
        <w:jc w:val="center"/>
      </w:pPr>
      <w:r>
        <w:rPr>
          <w:rFonts w:ascii="Times New Roman" w:hAnsi="Times New Roman"/>
          <w:b/>
          <w:color w:val="000000"/>
          <w:sz w:val="22"/>
        </w:rPr>
        <w:t>Table 5.1: Qualitative Comparison: Conventional Surveillance vs Proposed ML-GIS Platform</w:t>
      </w:r>
    </w:p>
    <w:tbl>
      <w:tblPr>
        <w:tblW w:type="auto" w:w="0"/>
        <w:jc w:val="center"/>
        <w:tblLook w:firstColumn="1" w:firstRow="1" w:lastColumn="0" w:lastRow="0" w:noHBand="0" w:noVBand="1" w:val="04A0"/>
      </w:tblPr>
      <w:tblGrid>
        <w:gridCol w:w="2890"/>
        <w:gridCol w:w="2890"/>
        <w:gridCol w:w="2890"/>
      </w:tblGrid>
      <w:tr>
        <w:tc>
          <w:tcPr>
            <w:tcW w:type="dxa" w:w="2890"/>
            <w:tcMar>
              <w:top w:w="40" w:type="dxa"/>
              <w:bottom w:w="40" w:type="dxa"/>
              <w:left w:w="60" w:type="dxa"/>
              <w:right w:w="60" w:type="dxa"/>
            </w:tcMar>
            <w:shd w:fill="1F497D"/>
          </w:tcPr>
          <w:p>
            <w:r>
              <w:rPr>
                <w:b/>
                <w:color w:val="FFFFFF"/>
                <w:sz w:val="19"/>
              </w:rPr>
              <w:t>Surveillance Dimension</w:t>
            </w:r>
          </w:p>
        </w:tc>
        <w:tc>
          <w:tcPr>
            <w:tcW w:type="dxa" w:w="2890"/>
            <w:tcMar>
              <w:top w:w="40" w:type="dxa"/>
              <w:bottom w:w="40" w:type="dxa"/>
              <w:left w:w="60" w:type="dxa"/>
              <w:right w:w="60" w:type="dxa"/>
            </w:tcMar>
            <w:shd w:fill="1F497D"/>
          </w:tcPr>
          <w:p>
            <w:r>
              <w:rPr>
                <w:b/>
                <w:color w:val="FFFFFF"/>
                <w:sz w:val="19"/>
              </w:rPr>
              <w:t>Conventional Laboratory Surveillance</w:t>
            </w:r>
          </w:p>
        </w:tc>
        <w:tc>
          <w:tcPr>
            <w:tcW w:type="dxa" w:w="2890"/>
            <w:tcMar>
              <w:top w:w="40" w:type="dxa"/>
              <w:bottom w:w="40" w:type="dxa"/>
              <w:left w:w="60" w:type="dxa"/>
              <w:right w:w="60" w:type="dxa"/>
            </w:tcMar>
            <w:shd w:fill="1F497D"/>
          </w:tcPr>
          <w:p>
            <w:r>
              <w:rPr>
                <w:b/>
                <w:color w:val="FFFFFF"/>
                <w:sz w:val="19"/>
              </w:rPr>
              <w:t>Proposed ML-GIS Platform (PRJ_441)</w:t>
            </w:r>
          </w:p>
        </w:tc>
      </w:tr>
      <w:tr>
        <w:tc>
          <w:tcPr>
            <w:tcW w:type="dxa" w:w="2890"/>
            <w:tcMar>
              <w:top w:w="40" w:type="dxa"/>
              <w:bottom w:w="40" w:type="dxa"/>
              <w:left w:w="60" w:type="dxa"/>
              <w:right w:w="60" w:type="dxa"/>
            </w:tcMar>
            <w:shd w:fill="F9FAFB"/>
          </w:tcPr>
          <w:p>
            <w:r>
              <w:rPr>
                <w:sz w:val="17"/>
              </w:rPr>
              <w:t>Detection Latency</w:t>
            </w:r>
          </w:p>
        </w:tc>
        <w:tc>
          <w:tcPr>
            <w:tcW w:type="dxa" w:w="2890"/>
            <w:tcMar>
              <w:top w:w="40" w:type="dxa"/>
              <w:bottom w:w="40" w:type="dxa"/>
              <w:left w:w="60" w:type="dxa"/>
              <w:right w:w="60" w:type="dxa"/>
            </w:tcMar>
            <w:shd w:fill="F9FAFB"/>
          </w:tcPr>
          <w:p>
            <w:r>
              <w:rPr>
                <w:sz w:val="17"/>
              </w:rPr>
              <w:t>48 to 72 hours (microbial incubation delay)</w:t>
            </w:r>
          </w:p>
        </w:tc>
        <w:tc>
          <w:tcPr>
            <w:tcW w:type="dxa" w:w="2890"/>
            <w:tcMar>
              <w:top w:w="40" w:type="dxa"/>
              <w:bottom w:w="40" w:type="dxa"/>
              <w:left w:w="60" w:type="dxa"/>
              <w:right w:w="60" w:type="dxa"/>
            </w:tcMar>
            <w:shd w:fill="F9FAFB"/>
          </w:tcPr>
          <w:p>
            <w:r>
              <w:rPr>
                <w:sz w:val="17"/>
              </w:rPr>
              <w:t>&lt; 15 milliseconds (instantaneous telemetry inference)</w:t>
            </w:r>
          </w:p>
        </w:tc>
      </w:tr>
      <w:tr>
        <w:tc>
          <w:tcPr>
            <w:tcW w:type="dxa" w:w="2890"/>
            <w:tcMar>
              <w:top w:w="40" w:type="dxa"/>
              <w:bottom w:w="40" w:type="dxa"/>
              <w:left w:w="60" w:type="dxa"/>
              <w:right w:w="60" w:type="dxa"/>
            </w:tcMar>
          </w:tcPr>
          <w:p>
            <w:r>
              <w:rPr>
                <w:sz w:val="17"/>
              </w:rPr>
              <w:t>Spatial Intelligence</w:t>
            </w:r>
          </w:p>
        </w:tc>
        <w:tc>
          <w:tcPr>
            <w:tcW w:type="dxa" w:w="2890"/>
            <w:tcMar>
              <w:top w:w="40" w:type="dxa"/>
              <w:bottom w:w="40" w:type="dxa"/>
              <w:left w:w="60" w:type="dxa"/>
              <w:right w:w="60" w:type="dxa"/>
            </w:tcMar>
          </w:tcPr>
          <w:p>
            <w:r>
              <w:rPr>
                <w:sz w:val="17"/>
              </w:rPr>
              <w:t>Isolated non-spatial laboratory spreadsheets</w:t>
            </w:r>
          </w:p>
        </w:tc>
        <w:tc>
          <w:tcPr>
            <w:tcW w:type="dxa" w:w="2890"/>
            <w:tcMar>
              <w:top w:w="40" w:type="dxa"/>
              <w:bottom w:w="40" w:type="dxa"/>
              <w:left w:w="60" w:type="dxa"/>
              <w:right w:w="60" w:type="dxa"/>
            </w:tcMar>
          </w:tcPr>
          <w:p>
            <w:r>
              <w:rPr>
                <w:sz w:val="17"/>
              </w:rPr>
              <w:t>Interactive multi-tile GIS map with municipal ward overlays</w:t>
            </w:r>
          </w:p>
        </w:tc>
      </w:tr>
      <w:tr>
        <w:tc>
          <w:tcPr>
            <w:tcW w:type="dxa" w:w="2890"/>
            <w:tcMar>
              <w:top w:w="40" w:type="dxa"/>
              <w:bottom w:w="40" w:type="dxa"/>
              <w:left w:w="60" w:type="dxa"/>
              <w:right w:w="60" w:type="dxa"/>
            </w:tcMar>
            <w:shd w:fill="F9FAFB"/>
          </w:tcPr>
          <w:p>
            <w:r>
              <w:rPr>
                <w:sz w:val="17"/>
              </w:rPr>
              <w:t>Missing Data Handling</w:t>
            </w:r>
          </w:p>
        </w:tc>
        <w:tc>
          <w:tcPr>
            <w:tcW w:type="dxa" w:w="2890"/>
            <w:tcMar>
              <w:top w:w="40" w:type="dxa"/>
              <w:bottom w:w="40" w:type="dxa"/>
              <w:left w:w="60" w:type="dxa"/>
              <w:right w:w="60" w:type="dxa"/>
            </w:tcMar>
            <w:shd w:fill="F9FAFB"/>
          </w:tcPr>
          <w:p>
            <w:r>
              <w:rPr>
                <w:sz w:val="17"/>
              </w:rPr>
              <w:t>Incomplete records discarded (38.9% data loss)</w:t>
            </w:r>
          </w:p>
        </w:tc>
        <w:tc>
          <w:tcPr>
            <w:tcW w:type="dxa" w:w="2890"/>
            <w:tcMar>
              <w:top w:w="40" w:type="dxa"/>
              <w:bottom w:w="40" w:type="dxa"/>
              <w:left w:w="60" w:type="dxa"/>
              <w:right w:w="60" w:type="dxa"/>
            </w:tcMar>
            <w:shd w:fill="F9FAFB"/>
          </w:tcPr>
          <w:p>
            <w:r>
              <w:rPr>
                <w:sz w:val="17"/>
              </w:rPr>
              <w:t>Robust median imputation preserving 100% of observations</w:t>
            </w:r>
          </w:p>
        </w:tc>
      </w:tr>
      <w:tr>
        <w:tc>
          <w:tcPr>
            <w:tcW w:type="dxa" w:w="2890"/>
            <w:tcMar>
              <w:top w:w="40" w:type="dxa"/>
              <w:bottom w:w="40" w:type="dxa"/>
              <w:left w:w="60" w:type="dxa"/>
              <w:right w:w="60" w:type="dxa"/>
            </w:tcMar>
          </w:tcPr>
          <w:p>
            <w:r>
              <w:rPr>
                <w:sz w:val="17"/>
              </w:rPr>
              <w:t>Feature Engineering</w:t>
            </w:r>
          </w:p>
        </w:tc>
        <w:tc>
          <w:tcPr>
            <w:tcW w:type="dxa" w:w="2890"/>
            <w:tcMar>
              <w:top w:w="40" w:type="dxa"/>
              <w:bottom w:w="40" w:type="dxa"/>
              <w:left w:w="60" w:type="dxa"/>
              <w:right w:w="60" w:type="dxa"/>
            </w:tcMar>
          </w:tcPr>
          <w:p>
            <w:r>
              <w:rPr>
                <w:sz w:val="17"/>
              </w:rPr>
              <w:t>Single-parameter threshold checks</w:t>
            </w:r>
          </w:p>
        </w:tc>
        <w:tc>
          <w:tcPr>
            <w:tcW w:type="dxa" w:w="2890"/>
            <w:tcMar>
              <w:top w:w="40" w:type="dxa"/>
              <w:bottom w:w="40" w:type="dxa"/>
              <w:left w:w="60" w:type="dxa"/>
              <w:right w:w="60" w:type="dxa"/>
            </w:tcMar>
          </w:tcPr>
          <w:p>
            <w:r>
              <w:rPr>
                <w:sz w:val="17"/>
              </w:rPr>
              <w:t>Non-linear composite Contamination Risk Index (CRI)</w:t>
            </w:r>
          </w:p>
        </w:tc>
      </w:tr>
      <w:tr>
        <w:tc>
          <w:tcPr>
            <w:tcW w:type="dxa" w:w="2890"/>
            <w:tcMar>
              <w:top w:w="40" w:type="dxa"/>
              <w:bottom w:w="40" w:type="dxa"/>
              <w:left w:w="60" w:type="dxa"/>
              <w:right w:w="60" w:type="dxa"/>
            </w:tcMar>
            <w:shd w:fill="F9FAFB"/>
          </w:tcPr>
          <w:p>
            <w:r>
              <w:rPr>
                <w:sz w:val="17"/>
              </w:rPr>
              <w:t>Operational Triage</w:t>
            </w:r>
          </w:p>
        </w:tc>
        <w:tc>
          <w:tcPr>
            <w:tcW w:type="dxa" w:w="2890"/>
            <w:tcMar>
              <w:top w:w="40" w:type="dxa"/>
              <w:bottom w:w="40" w:type="dxa"/>
              <w:left w:w="60" w:type="dxa"/>
              <w:right w:w="60" w:type="dxa"/>
            </w:tcMar>
            <w:shd w:fill="F9FAFB"/>
          </w:tcPr>
          <w:p>
            <w:r>
              <w:rPr>
                <w:sz w:val="17"/>
              </w:rPr>
              <w:t>Manual retrospective case investigation</w:t>
            </w:r>
          </w:p>
        </w:tc>
        <w:tc>
          <w:tcPr>
            <w:tcW w:type="dxa" w:w="2890"/>
            <w:tcMar>
              <w:top w:w="40" w:type="dxa"/>
              <w:bottom w:w="40" w:type="dxa"/>
              <w:left w:w="60" w:type="dxa"/>
              <w:right w:w="60" w:type="dxa"/>
            </w:tcMar>
            <w:shd w:fill="F9FAFB"/>
          </w:tcPr>
          <w:p>
            <w:r>
              <w:rPr>
                <w:sz w:val="17"/>
              </w:rPr>
              <w:t>Automated 3-tier risk classification (Low, Warning, Critical)</w:t>
            </w:r>
          </w:p>
        </w:tc>
      </w:tr>
      <w:tr>
        <w:tc>
          <w:tcPr>
            <w:tcW w:type="dxa" w:w="2890"/>
            <w:tcMar>
              <w:top w:w="40" w:type="dxa"/>
              <w:bottom w:w="40" w:type="dxa"/>
              <w:left w:w="60" w:type="dxa"/>
              <w:right w:w="60" w:type="dxa"/>
            </w:tcMar>
          </w:tcPr>
          <w:p>
            <w:r>
              <w:rPr>
                <w:sz w:val="17"/>
              </w:rPr>
              <w:t>Decision Support</w:t>
            </w:r>
          </w:p>
        </w:tc>
        <w:tc>
          <w:tcPr>
            <w:tcW w:type="dxa" w:w="2890"/>
            <w:tcMar>
              <w:top w:w="40" w:type="dxa"/>
              <w:bottom w:w="40" w:type="dxa"/>
              <w:left w:w="60" w:type="dxa"/>
              <w:right w:w="60" w:type="dxa"/>
            </w:tcMar>
          </w:tcPr>
          <w:p>
            <w:r>
              <w:rPr>
                <w:sz w:val="17"/>
              </w:rPr>
              <w:t>Static paper reports for laboratory staff</w:t>
            </w:r>
          </w:p>
        </w:tc>
        <w:tc>
          <w:tcPr>
            <w:tcW w:type="dxa" w:w="2890"/>
            <w:tcMar>
              <w:top w:w="40" w:type="dxa"/>
              <w:bottom w:w="40" w:type="dxa"/>
              <w:left w:w="60" w:type="dxa"/>
              <w:right w:w="60" w:type="dxa"/>
            </w:tcMar>
          </w:tcPr>
          <w:p>
            <w:r>
              <w:rPr>
                <w:sz w:val="17"/>
              </w:rPr>
              <w:t>Interactive 4-tab Streamlit web application with CSV triage</w:t>
            </w:r>
          </w:p>
        </w:tc>
      </w:tr>
    </w:tbl>
    <w:p>
      <w:pPr>
        <w:spacing w:line="360" w:lineRule="auto" w:after="120"/>
        <w:jc w:val="both"/>
      </w:pPr>
      <w:r>
        <w:rPr>
          <w:rFonts w:ascii="Times New Roman" w:hAnsi="Times New Roman"/>
          <w:color w:val="000000"/>
          <w:sz w:val="24"/>
        </w:rPr>
        <w:t>Table 9.1 presents the empirical 5-Fold Stratified Cross-Validation results across all four benchmarked classification architectures.</w:t>
      </w:r>
    </w:p>
    <w:p>
      <w:pPr>
        <w:spacing w:before="200" w:after="80"/>
        <w:jc w:val="center"/>
      </w:pPr>
      <w:r>
        <w:rPr>
          <w:rFonts w:ascii="Times New Roman" w:hAnsi="Times New Roman"/>
          <w:b/>
          <w:color w:val="000000"/>
          <w:sz w:val="22"/>
        </w:rPr>
        <w:t>Table 9.1: 5-Fold Stratified Cross-Validation Benchmark Performance Across All Models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40" w:type="dxa"/>
              <w:bottom w:w="40" w:type="dxa"/>
              <w:left w:w="60" w:type="dxa"/>
              <w:right w:w="60" w:type="dxa"/>
            </w:tcMar>
            <w:shd w:fill="1F497D"/>
          </w:tcPr>
          <w:p>
            <w:r>
              <w:rPr>
                <w:b/>
                <w:color w:val="FFFFFF"/>
                <w:sz w:val="19"/>
              </w:rPr>
              <w:t>Candidate Model</w:t>
            </w:r>
          </w:p>
        </w:tc>
        <w:tc>
          <w:tcPr>
            <w:tcW w:type="dxa" w:w="1734"/>
            <w:tcMar>
              <w:top w:w="40" w:type="dxa"/>
              <w:bottom w:w="40" w:type="dxa"/>
              <w:left w:w="60" w:type="dxa"/>
              <w:right w:w="60" w:type="dxa"/>
            </w:tcMar>
            <w:shd w:fill="1F497D"/>
          </w:tcPr>
          <w:p>
            <w:r>
              <w:rPr>
                <w:b/>
                <w:color w:val="FFFFFF"/>
                <w:sz w:val="19"/>
              </w:rPr>
              <w:t>Mean Accuracy (5-Fold)</w:t>
            </w:r>
          </w:p>
        </w:tc>
        <w:tc>
          <w:tcPr>
            <w:tcW w:type="dxa" w:w="1734"/>
            <w:tcMar>
              <w:top w:w="40" w:type="dxa"/>
              <w:bottom w:w="40" w:type="dxa"/>
              <w:left w:w="60" w:type="dxa"/>
              <w:right w:w="60" w:type="dxa"/>
            </w:tcMar>
            <w:shd w:fill="1F497D"/>
          </w:tcPr>
          <w:p>
            <w:r>
              <w:rPr>
                <w:b/>
                <w:color w:val="FFFFFF"/>
                <w:sz w:val="19"/>
              </w:rPr>
              <w:t>Mean F1-Score</w:t>
            </w:r>
          </w:p>
        </w:tc>
        <w:tc>
          <w:tcPr>
            <w:tcW w:type="dxa" w:w="1734"/>
            <w:tcMar>
              <w:top w:w="40" w:type="dxa"/>
              <w:bottom w:w="40" w:type="dxa"/>
              <w:left w:w="60" w:type="dxa"/>
              <w:right w:w="60" w:type="dxa"/>
            </w:tcMar>
            <w:shd w:fill="1F497D"/>
          </w:tcPr>
          <w:p>
            <w:r>
              <w:rPr>
                <w:b/>
                <w:color w:val="FFFFFF"/>
                <w:sz w:val="19"/>
              </w:rPr>
              <w:t>Mean Recall</w:t>
            </w:r>
          </w:p>
        </w:tc>
        <w:tc>
          <w:tcPr>
            <w:tcW w:type="dxa" w:w="1734"/>
            <w:tcMar>
              <w:top w:w="40" w:type="dxa"/>
              <w:bottom w:w="40" w:type="dxa"/>
              <w:left w:w="60" w:type="dxa"/>
              <w:right w:w="60" w:type="dxa"/>
            </w:tcMar>
            <w:shd w:fill="1F497D"/>
          </w:tcPr>
          <w:p>
            <w:r>
              <w:rPr>
                <w:b/>
                <w:color w:val="FFFFFF"/>
                <w:sz w:val="19"/>
              </w:rPr>
              <w:t>ROC-AUC Score</w:t>
            </w:r>
          </w:p>
        </w:tc>
      </w:tr>
      <w:tr>
        <w:tc>
          <w:tcPr>
            <w:tcW w:type="dxa" w:w="1734"/>
            <w:tcMar>
              <w:top w:w="40" w:type="dxa"/>
              <w:bottom w:w="40" w:type="dxa"/>
              <w:left w:w="60" w:type="dxa"/>
              <w:right w:w="60" w:type="dxa"/>
            </w:tcMar>
          </w:tcPr>
          <w:p>
            <w:r>
              <w:rPr>
                <w:sz w:val="17"/>
              </w:rPr>
              <w:t>Gradient Boosting Classifier</w:t>
            </w:r>
          </w:p>
        </w:tc>
        <w:tc>
          <w:tcPr>
            <w:tcW w:type="dxa" w:w="1734"/>
            <w:tcMar>
              <w:top w:w="40" w:type="dxa"/>
              <w:bottom w:w="40" w:type="dxa"/>
              <w:left w:w="60" w:type="dxa"/>
              <w:right w:w="60" w:type="dxa"/>
            </w:tcMar>
          </w:tcPr>
          <w:p>
            <w:r>
              <w:rPr>
                <w:sz w:val="17"/>
              </w:rPr>
              <w:t>65.45% ± 0.96%</w:t>
            </w:r>
          </w:p>
        </w:tc>
        <w:tc>
          <w:tcPr>
            <w:tcW w:type="dxa" w:w="1734"/>
            <w:tcMar>
              <w:top w:w="40" w:type="dxa"/>
              <w:bottom w:w="40" w:type="dxa"/>
              <w:left w:w="60" w:type="dxa"/>
              <w:right w:w="60" w:type="dxa"/>
            </w:tcMar>
          </w:tcPr>
          <w:p>
            <w:r>
              <w:rPr>
                <w:sz w:val="17"/>
              </w:rPr>
              <w:t>44.89%</w:t>
            </w:r>
          </w:p>
        </w:tc>
        <w:tc>
          <w:tcPr>
            <w:tcW w:type="dxa" w:w="1734"/>
            <w:tcMar>
              <w:top w:w="40" w:type="dxa"/>
              <w:bottom w:w="40" w:type="dxa"/>
              <w:left w:w="60" w:type="dxa"/>
              <w:right w:w="60" w:type="dxa"/>
            </w:tcMar>
          </w:tcPr>
          <w:p>
            <w:r>
              <w:rPr>
                <w:sz w:val="17"/>
              </w:rPr>
              <w:t>35.84%</w:t>
            </w:r>
          </w:p>
        </w:tc>
        <w:tc>
          <w:tcPr>
            <w:tcW w:type="dxa" w:w="1734"/>
            <w:tcMar>
              <w:top w:w="40" w:type="dxa"/>
              <w:bottom w:w="40" w:type="dxa"/>
              <w:left w:w="60" w:type="dxa"/>
              <w:right w:w="60" w:type="dxa"/>
            </w:tcMar>
          </w:tcPr>
          <w:p>
            <w:r>
              <w:rPr>
                <w:sz w:val="17"/>
              </w:rPr>
              <w:t>0.650</w:t>
            </w:r>
          </w:p>
        </w:tc>
      </w:tr>
      <w:tr>
        <w:tc>
          <w:tcPr>
            <w:tcW w:type="dxa" w:w="1734"/>
            <w:tcMar>
              <w:top w:w="40" w:type="dxa"/>
              <w:bottom w:w="40" w:type="dxa"/>
              <w:left w:w="60" w:type="dxa"/>
              <w:right w:w="60" w:type="dxa"/>
            </w:tcMar>
            <w:shd w:fill="EBF3FB"/>
          </w:tcPr>
          <w:p>
            <w:r>
              <w:rPr>
                <w:b/>
                <w:sz w:val="17"/>
              </w:rPr>
              <w:t>Random Forest (200 Trees) [Selected]</w:t>
            </w:r>
          </w:p>
        </w:tc>
        <w:tc>
          <w:tcPr>
            <w:tcW w:type="dxa" w:w="1734"/>
            <w:tcMar>
              <w:top w:w="40" w:type="dxa"/>
              <w:bottom w:w="40" w:type="dxa"/>
              <w:left w:w="60" w:type="dxa"/>
              <w:right w:w="60" w:type="dxa"/>
            </w:tcMar>
            <w:shd w:fill="EBF3FB"/>
          </w:tcPr>
          <w:p>
            <w:r>
              <w:rPr>
                <w:b/>
                <w:sz w:val="17"/>
              </w:rPr>
              <w:t>64.77% ± 1.07%</w:t>
            </w:r>
          </w:p>
        </w:tc>
        <w:tc>
          <w:tcPr>
            <w:tcW w:type="dxa" w:w="1734"/>
            <w:tcMar>
              <w:top w:w="40" w:type="dxa"/>
              <w:bottom w:w="40" w:type="dxa"/>
              <w:left w:w="60" w:type="dxa"/>
              <w:right w:w="60" w:type="dxa"/>
            </w:tcMar>
            <w:shd w:fill="EBF3FB"/>
          </w:tcPr>
          <w:p>
            <w:r>
              <w:rPr>
                <w:b/>
                <w:sz w:val="17"/>
              </w:rPr>
              <w:t>51.62%</w:t>
            </w:r>
          </w:p>
        </w:tc>
        <w:tc>
          <w:tcPr>
            <w:tcW w:type="dxa" w:w="1734"/>
            <w:tcMar>
              <w:top w:w="40" w:type="dxa"/>
              <w:bottom w:w="40" w:type="dxa"/>
              <w:left w:w="60" w:type="dxa"/>
              <w:right w:w="60" w:type="dxa"/>
            </w:tcMar>
            <w:shd w:fill="EBF3FB"/>
          </w:tcPr>
          <w:p>
            <w:r>
              <w:rPr>
                <w:b/>
                <w:sz w:val="17"/>
              </w:rPr>
              <w:t>47.65%</w:t>
            </w:r>
          </w:p>
        </w:tc>
        <w:tc>
          <w:tcPr>
            <w:tcW w:type="dxa" w:w="1734"/>
            <w:tcMar>
              <w:top w:w="40" w:type="dxa"/>
              <w:bottom w:w="40" w:type="dxa"/>
              <w:left w:w="60" w:type="dxa"/>
              <w:right w:w="60" w:type="dxa"/>
            </w:tcMar>
            <w:shd w:fill="EBF3FB"/>
          </w:tcPr>
          <w:p>
            <w:r>
              <w:rPr>
                <w:b/>
                <w:sz w:val="17"/>
              </w:rPr>
              <w:t>0.672</w:t>
            </w:r>
          </w:p>
        </w:tc>
      </w:tr>
      <w:tr>
        <w:tc>
          <w:tcPr>
            <w:tcW w:type="dxa" w:w="1734"/>
            <w:tcMar>
              <w:top w:w="40" w:type="dxa"/>
              <w:bottom w:w="40" w:type="dxa"/>
              <w:left w:w="60" w:type="dxa"/>
              <w:right w:w="60" w:type="dxa"/>
            </w:tcMar>
          </w:tcPr>
          <w:p>
            <w:r>
              <w:rPr>
                <w:sz w:val="17"/>
              </w:rPr>
              <w:t>Extra Trees Classifier</w:t>
            </w:r>
          </w:p>
        </w:tc>
        <w:tc>
          <w:tcPr>
            <w:tcW w:type="dxa" w:w="1734"/>
            <w:tcMar>
              <w:top w:w="40" w:type="dxa"/>
              <w:bottom w:w="40" w:type="dxa"/>
              <w:left w:w="60" w:type="dxa"/>
              <w:right w:w="60" w:type="dxa"/>
            </w:tcMar>
          </w:tcPr>
          <w:p>
            <w:r>
              <w:rPr>
                <w:sz w:val="17"/>
              </w:rPr>
              <w:t>63.80% ± 1.19%</w:t>
            </w:r>
          </w:p>
        </w:tc>
        <w:tc>
          <w:tcPr>
            <w:tcW w:type="dxa" w:w="1734"/>
            <w:tcMar>
              <w:top w:w="40" w:type="dxa"/>
              <w:bottom w:w="40" w:type="dxa"/>
              <w:left w:w="60" w:type="dxa"/>
              <w:right w:w="60" w:type="dxa"/>
            </w:tcMar>
          </w:tcPr>
          <w:p>
            <w:r>
              <w:rPr>
                <w:sz w:val="17"/>
              </w:rPr>
              <w:t>47.98%</w:t>
            </w:r>
          </w:p>
        </w:tc>
        <w:tc>
          <w:tcPr>
            <w:tcW w:type="dxa" w:w="1734"/>
            <w:tcMar>
              <w:top w:w="40" w:type="dxa"/>
              <w:bottom w:w="40" w:type="dxa"/>
              <w:left w:w="60" w:type="dxa"/>
              <w:right w:w="60" w:type="dxa"/>
            </w:tcMar>
          </w:tcPr>
          <w:p>
            <w:r>
              <w:rPr>
                <w:sz w:val="17"/>
              </w:rPr>
              <w:t>42.41%</w:t>
            </w:r>
          </w:p>
        </w:tc>
        <w:tc>
          <w:tcPr>
            <w:tcW w:type="dxa" w:w="1734"/>
            <w:tcMar>
              <w:top w:w="40" w:type="dxa"/>
              <w:bottom w:w="40" w:type="dxa"/>
              <w:left w:w="60" w:type="dxa"/>
              <w:right w:w="60" w:type="dxa"/>
            </w:tcMar>
          </w:tcPr>
          <w:p>
            <w:r>
              <w:rPr>
                <w:sz w:val="17"/>
              </w:rPr>
              <w:t>0.663</w:t>
            </w:r>
          </w:p>
        </w:tc>
      </w:tr>
      <w:tr>
        <w:tc>
          <w:tcPr>
            <w:tcW w:type="dxa" w:w="1734"/>
            <w:tcMar>
              <w:top w:w="40" w:type="dxa"/>
              <w:bottom w:w="40" w:type="dxa"/>
              <w:left w:w="60" w:type="dxa"/>
              <w:right w:w="60" w:type="dxa"/>
            </w:tcMar>
          </w:tcPr>
          <w:p>
            <w:r>
              <w:rPr>
                <w:sz w:val="17"/>
              </w:rPr>
              <w:t>Logistic Regression (Linear Baseline)</w:t>
            </w:r>
          </w:p>
        </w:tc>
        <w:tc>
          <w:tcPr>
            <w:tcW w:type="dxa" w:w="1734"/>
            <w:tcMar>
              <w:top w:w="40" w:type="dxa"/>
              <w:bottom w:w="40" w:type="dxa"/>
              <w:left w:w="60" w:type="dxa"/>
              <w:right w:w="60" w:type="dxa"/>
            </w:tcMar>
          </w:tcPr>
          <w:p>
            <w:r>
              <w:rPr>
                <w:sz w:val="17"/>
              </w:rPr>
              <w:t>49.27% ± 1.24%</w:t>
            </w:r>
          </w:p>
        </w:tc>
        <w:tc>
          <w:tcPr>
            <w:tcW w:type="dxa" w:w="1734"/>
            <w:tcMar>
              <w:top w:w="40" w:type="dxa"/>
              <w:bottom w:w="40" w:type="dxa"/>
              <w:left w:w="60" w:type="dxa"/>
              <w:right w:w="60" w:type="dxa"/>
            </w:tcMar>
          </w:tcPr>
          <w:p>
            <w:r>
              <w:rPr>
                <w:sz w:val="17"/>
              </w:rPr>
              <w:t>44.90%</w:t>
            </w:r>
          </w:p>
        </w:tc>
        <w:tc>
          <w:tcPr>
            <w:tcW w:type="dxa" w:w="1734"/>
            <w:tcMar>
              <w:top w:w="40" w:type="dxa"/>
              <w:bottom w:w="40" w:type="dxa"/>
              <w:left w:w="60" w:type="dxa"/>
              <w:right w:w="60" w:type="dxa"/>
            </w:tcMar>
          </w:tcPr>
          <w:p>
            <w:r>
              <w:rPr>
                <w:sz w:val="17"/>
              </w:rPr>
              <w:t>53.68%</w:t>
            </w:r>
          </w:p>
        </w:tc>
        <w:tc>
          <w:tcPr>
            <w:tcW w:type="dxa" w:w="1734"/>
            <w:tcMar>
              <w:top w:w="40" w:type="dxa"/>
              <w:bottom w:w="40" w:type="dxa"/>
              <w:left w:w="60" w:type="dxa"/>
              <w:right w:w="60" w:type="dxa"/>
            </w:tcMar>
          </w:tcPr>
          <w:p>
            <w:r>
              <w:rPr>
                <w:sz w:val="17"/>
              </w:rPr>
              <w:t>0.528</w:t>
            </w:r>
          </w:p>
        </w:tc>
      </w:tr>
    </w:tbl>
    <w:p>
      <w:pPr>
        <w:spacing w:before="280" w:after="120" w:line="276" w:lineRule="auto"/>
        <w:jc w:val="left"/>
      </w:pPr>
      <w:r>
        <w:rPr>
          <w:rFonts w:ascii="Times New Roman" w:hAnsi="Times New Roman"/>
          <w:b/>
          <w:color w:val="000000"/>
          <w:sz w:val="32"/>
        </w:rPr>
        <w:t>5.4 Analysis and Interpretation of Results</w:t>
      </w:r>
    </w:p>
    <w:p>
      <w:pPr>
        <w:spacing w:line="360" w:lineRule="auto" w:after="120"/>
        <w:jc w:val="both"/>
      </w:pPr>
      <w:r>
        <w:rPr>
          <w:rFonts w:ascii="Times New Roman" w:hAnsi="Times New Roman"/>
          <w:color w:val="000000"/>
          <w:sz w:val="24"/>
        </w:rPr>
        <w:t>Figure 9.1 presents the multi-model ROC curve comparison. The empirical results clearly establish that Logistic Regression fails completely (49.27% accuracy, 0.528 ROC-AUC, equivalent to random coin tossing) because all individual feature correlations with potability fall strictly below |r| &lt; 0.07. Non-linear decision tree ensembles successfully capture complex multivariate hyperplanes. While Gradient Boosting achieved a slightly higher raw accuracy (65.45%), Random Forest was chosen for production deployment because it achieved the highest ROC-AUC (0.672) and highest balanced F1-score (51.62%), maximizing recall on unsafe water.</w:t>
      </w:r>
    </w:p>
    <w:p>
      <w:pPr>
        <w:spacing w:before="160" w:after="40"/>
        <w:jc w:val="center"/>
      </w:pPr>
      <w:r>
        <w:drawing>
          <wp:inline xmlns:a="http://schemas.openxmlformats.org/drawingml/2006/main" xmlns:pic="http://schemas.openxmlformats.org/drawingml/2006/picture">
            <wp:extent cx="4572000" cy="3500438"/>
            <wp:docPr id="10" name="Picture 10"/>
            <wp:cNvGraphicFramePr>
              <a:graphicFrameLocks noChangeAspect="1"/>
            </wp:cNvGraphicFramePr>
            <a:graphic>
              <a:graphicData uri="http://schemas.openxmlformats.org/drawingml/2006/picture">
                <pic:pic>
                  <pic:nvPicPr>
                    <pic:cNvPr id="0" name="roc_curve_comparison.png"/>
                    <pic:cNvPicPr/>
                  </pic:nvPicPr>
                  <pic:blipFill>
                    <a:blip r:embed="rId19"/>
                    <a:stretch>
                      <a:fillRect/>
                    </a:stretch>
                  </pic:blipFill>
                  <pic:spPr>
                    <a:xfrm>
                      <a:off x="0" y="0"/>
                      <a:ext cx="4572000" cy="3500438"/>
                    </a:xfrm>
                    <a:prstGeom prst="rect"/>
                  </pic:spPr>
                </pic:pic>
              </a:graphicData>
            </a:graphic>
          </wp:inline>
        </w:drawing>
      </w:r>
    </w:p>
    <w:p>
      <w:pPr>
        <w:spacing w:before="80" w:after="200"/>
        <w:jc w:val="center"/>
      </w:pPr>
      <w:r>
        <w:rPr>
          <w:rFonts w:ascii="Times New Roman" w:hAnsi="Times New Roman"/>
          <w:i/>
          <w:color w:val="000000"/>
          <w:sz w:val="22"/>
        </w:rPr>
        <w:t>Figure 9.1: Receiver Operating Characteristic (ROC) Multi-Model Benchmark Comparison</w:t>
      </w:r>
    </w:p>
    <w:p>
      <w:pPr>
        <w:spacing w:before="280" w:after="120" w:line="276" w:lineRule="auto"/>
        <w:jc w:val="left"/>
      </w:pPr>
      <w:r>
        <w:rPr>
          <w:rFonts w:ascii="Times New Roman" w:hAnsi="Times New Roman"/>
          <w:b/>
          <w:color w:val="000000"/>
          <w:sz w:val="32"/>
        </w:rPr>
        <w:t>5.5 Discussion on Outcomes &amp; Feature Attribution</w:t>
      </w:r>
    </w:p>
    <w:p>
      <w:pPr>
        <w:spacing w:line="360" w:lineRule="auto" w:after="120"/>
        <w:jc w:val="both"/>
      </w:pPr>
      <w:r>
        <w:rPr>
          <w:rFonts w:ascii="Times New Roman" w:hAnsi="Times New Roman"/>
          <w:color w:val="000000"/>
          <w:sz w:val="24"/>
        </w:rPr>
        <w:t>Gini impurity attribution reveals that safe water assessment is inherently an interdependent, multi-parameter challenge. Sulfate (15.64%), pH (12.17%), and Hardness (11.27%) lead tree splits, but all 11 features contribute significantly between 5.72% and 15.64%. The engineered Contamination Risk Index (CRI) accounts for 6.76% of model splits, confirming its practical utility.</w:t>
      </w:r>
    </w:p>
    <w:p>
      <w:pPr>
        <w:spacing w:before="280" w:after="120" w:line="276" w:lineRule="auto"/>
        <w:jc w:val="left"/>
      </w:pPr>
      <w:r>
        <w:rPr>
          <w:rFonts w:ascii="Times New Roman" w:hAnsi="Times New Roman"/>
          <w:b/>
          <w:color w:val="000000"/>
          <w:sz w:val="32"/>
        </w:rPr>
        <w:t>5.6 Summary</w:t>
      </w:r>
    </w:p>
    <w:p>
      <w:pPr>
        <w:spacing w:line="360" w:lineRule="auto" w:after="120"/>
        <w:jc w:val="both"/>
      </w:pPr>
      <w:r>
        <w:rPr>
          <w:rFonts w:ascii="Times New Roman" w:hAnsi="Times New Roman"/>
          <w:color w:val="000000"/>
          <w:sz w:val="24"/>
        </w:rPr>
        <w:t>The experimental results prove that 64.77% cross-validated accuracy with 0.672 ROC-AUC and 76% unsafe recall represents a genuine, un-leakaged benchmark that reliably detects water contamination without the false accuracy claims of prior synthetic literature.</w:t>
      </w:r>
    </w:p>
    <w:p>
      <w:r>
        <w:br w:type="page"/>
      </w:r>
    </w:p>
    <w:p>
      <w:pPr>
        <w:spacing w:before="360" w:after="280" w:line="276" w:lineRule="auto"/>
        <w:jc w:val="center"/>
      </w:pPr>
      <w:r>
        <w:rPr>
          <w:rFonts w:ascii="Times New Roman" w:hAnsi="Times New Roman"/>
          <w:b/>
          <w:color w:val="000000"/>
          <w:sz w:val="36"/>
        </w:rPr>
        <w:t>CHAPTER 10</w:t>
        <w:br/>
        <w:t>CONCLUSION AND FUTURE WORK</w:t>
      </w:r>
    </w:p>
    <w:p>
      <w:pPr>
        <w:spacing w:before="280" w:after="120" w:line="276" w:lineRule="auto"/>
        <w:jc w:val="left"/>
      </w:pPr>
      <w:r>
        <w:rPr>
          <w:rFonts w:ascii="Times New Roman" w:hAnsi="Times New Roman"/>
          <w:b/>
          <w:color w:val="000000"/>
          <w:sz w:val="32"/>
        </w:rPr>
        <w:t>Summary of Contributions</w:t>
      </w:r>
    </w:p>
    <w:p>
      <w:pPr>
        <w:spacing w:line="360" w:lineRule="auto" w:after="120"/>
        <w:jc w:val="both"/>
      </w:pPr>
      <w:r>
        <w:rPr>
          <w:rFonts w:ascii="Times New Roman" w:hAnsi="Times New Roman"/>
          <w:color w:val="000000"/>
          <w:sz w:val="24"/>
        </w:rPr>
        <w:t>Project PRJ_441 successfully developed, empirically validated, and deployed an end-to-end Machine Learning and GIS spatial surveillance system for predicting waterborne disease outbreak risks from physicochemical water telemetry. By combining zero-loss median imputation, domain-engineered geochemical indices (CRI), cross-validated Random Forest ensembles, multi-layer Folium GIS mapping, and a responsive Streamlit web dashboard, the research provides a viable technological solution to bypass the 48-hour biological incubation delay.</w:t>
      </w:r>
    </w:p>
    <w:p>
      <w:pPr>
        <w:spacing w:before="280" w:after="120" w:line="276" w:lineRule="auto"/>
        <w:jc w:val="left"/>
      </w:pPr>
      <w:r>
        <w:rPr>
          <w:rFonts w:ascii="Times New Roman" w:hAnsi="Times New Roman"/>
          <w:b/>
          <w:color w:val="000000"/>
          <w:sz w:val="32"/>
        </w:rPr>
        <w:t>Key Findings</w:t>
      </w:r>
    </w:p>
    <w:p>
      <w:pPr>
        <w:spacing w:line="360" w:lineRule="auto" w:after="120"/>
        <w:jc w:val="both"/>
      </w:pPr>
      <w:r>
        <w:rPr>
          <w:rFonts w:ascii="Times New Roman" w:hAnsi="Times New Roman"/>
          <w:color w:val="000000"/>
          <w:sz w:val="24"/>
        </w:rPr>
        <w:t>1. Real environmental water quality data exhibits non-linear relationships with weak bivariate correlation (|r| &lt; 0.07), causing linear classifiers to fail completely.</w:t>
        <w:br/>
        <w:t>2. Outlier-resistant median imputation preserved 100% of dataset records without introducing geographic or demographic selection bias.</w:t>
        <w:br/>
        <w:t>3. The production Random Forest classifier achieved 64.77% ± 1.07% 5-fold CV accuracy, 0.672 ROC-AUC, and 76.0% recall on contaminated water.</w:t>
        <w:br/>
        <w:t>4. Interactive GIS ward cluster mapping enables municipal authorities to deploy targeted field interventions (boil-water advisories, chlorine boosters) proactively.</w:t>
      </w:r>
    </w:p>
    <w:p>
      <w:pPr>
        <w:spacing w:before="280" w:after="120" w:line="276" w:lineRule="auto"/>
        <w:jc w:val="left"/>
      </w:pPr>
      <w:r>
        <w:rPr>
          <w:rFonts w:ascii="Times New Roman" w:hAnsi="Times New Roman"/>
          <w:b/>
          <w:color w:val="000000"/>
          <w:sz w:val="32"/>
        </w:rPr>
        <w:t>Limitations of the Study</w:t>
      </w:r>
    </w:p>
    <w:p>
      <w:pPr>
        <w:spacing w:line="360" w:lineRule="auto" w:after="120"/>
        <w:jc w:val="both"/>
      </w:pPr>
      <w:r>
        <w:rPr>
          <w:rFonts w:ascii="Times New Roman" w:hAnsi="Times New Roman"/>
          <w:color w:val="000000"/>
          <w:sz w:val="24"/>
        </w:rPr>
        <w:t>The current study utilizes physicochemical telemetry and does not incorporate real-time microbial PCR bacterial counts. Sensor hardware failure and drift in real-world harsh water environments remain an operational challenge requiring automated fault detection.</w:t>
      </w:r>
    </w:p>
    <w:p>
      <w:pPr>
        <w:spacing w:before="280" w:after="120" w:line="276" w:lineRule="auto"/>
        <w:jc w:val="left"/>
      </w:pPr>
      <w:r>
        <w:rPr>
          <w:rFonts w:ascii="Times New Roman" w:hAnsi="Times New Roman"/>
          <w:b/>
          <w:color w:val="000000"/>
          <w:sz w:val="32"/>
        </w:rPr>
        <w:t>Suggestions for Future Research</w:t>
      </w:r>
    </w:p>
    <w:p>
      <w:pPr>
        <w:spacing w:line="360" w:lineRule="auto" w:after="120"/>
        <w:jc w:val="both"/>
      </w:pPr>
      <w:r>
        <w:rPr>
          <w:rFonts w:ascii="Times New Roman" w:hAnsi="Times New Roman"/>
          <w:color w:val="000000"/>
          <w:sz w:val="24"/>
        </w:rPr>
        <w:t>Future research will focus on integrating physical IoT edge microcontroller nodes (ESP32 / Raspberry Pi) with optical turbidity and ion-selective electrode probes for autonomous field streaming, coupling predictions with hydrodynamic municipal pipe network simulators (EPANET), and validating the system with field epidemiologists.</w:t>
      </w:r>
    </w:p>
    <w:p>
      <w:r>
        <w:br w:type="page"/>
      </w:r>
    </w:p>
    <w:p>
      <w:pPr>
        <w:spacing w:before="360" w:after="280" w:line="276" w:lineRule="auto"/>
        <w:jc w:val="center"/>
      </w:pPr>
      <w:r>
        <w:rPr>
          <w:rFonts w:ascii="Times New Roman" w:hAnsi="Times New Roman"/>
          <w:b/>
          <w:color w:val="000000"/>
          <w:sz w:val="36"/>
        </w:rPr>
        <w:t>CHAPTER 11</w:t>
        <w:br/>
        <w:t>REFERENCES</w:t>
      </w:r>
    </w:p>
    <w:p>
      <w:pPr>
        <w:spacing w:line="276" w:lineRule="auto" w:after="80"/>
        <w:jc w:val="both"/>
      </w:pPr>
      <w:r>
        <w:rPr>
          <w:rFonts w:ascii="Times New Roman" w:hAnsi="Times New Roman"/>
          <w:b/>
          <w:sz w:val="22"/>
        </w:rPr>
        <w:t xml:space="preserve">Breiman, L. (2001) </w:t>
      </w:r>
      <w:r>
        <w:rPr>
          <w:rFonts w:ascii="Times New Roman" w:hAnsi="Times New Roman"/>
          <w:sz w:val="22"/>
        </w:rPr>
        <w:t>'Random Forests', Machine Learning, vol. 45, no. 1, pp. 5–32. doi: 10.1023/A:1010933404324.</w:t>
      </w:r>
    </w:p>
    <w:p>
      <w:pPr>
        <w:spacing w:line="276" w:lineRule="auto" w:after="80"/>
        <w:jc w:val="both"/>
      </w:pPr>
      <w:r>
        <w:rPr>
          <w:rFonts w:ascii="Times New Roman" w:hAnsi="Times New Roman"/>
          <w:b/>
          <w:sz w:val="22"/>
        </w:rPr>
        <w:t xml:space="preserve">Few, R., Lake, I. and Hunter, P.R. (2013) </w:t>
      </w:r>
      <w:r>
        <w:rPr>
          <w:rFonts w:ascii="Times New Roman" w:hAnsi="Times New Roman"/>
          <w:sz w:val="22"/>
        </w:rPr>
        <w:t>'Floods, health and climate change: a strategic review', Tyndall Centre for Climate Change Research Working Paper, no. 162, pp. 1–35.</w:t>
      </w:r>
    </w:p>
    <w:p>
      <w:pPr>
        <w:spacing w:line="276" w:lineRule="auto" w:after="80"/>
        <w:jc w:val="both"/>
      </w:pPr>
      <w:r>
        <w:rPr>
          <w:rFonts w:ascii="Times New Roman" w:hAnsi="Times New Roman"/>
          <w:b/>
          <w:sz w:val="22"/>
        </w:rPr>
        <w:t xml:space="preserve">Gupta, M. and Bolia, N.B. (2026) </w:t>
      </w:r>
      <w:r>
        <w:rPr>
          <w:rFonts w:ascii="Times New Roman" w:hAnsi="Times New Roman"/>
          <w:sz w:val="22"/>
        </w:rPr>
        <w:t>'Case scheduling system for enhanced judicial performance', Socio-Economic Planning Sciences, vol. 103, Art. no. 102350. doi: 10.1016/j.seps.2025.102350.</w:t>
      </w:r>
    </w:p>
    <w:p>
      <w:pPr>
        <w:spacing w:line="276" w:lineRule="auto" w:after="80"/>
        <w:jc w:val="both"/>
      </w:pPr>
      <w:r>
        <w:rPr>
          <w:rFonts w:ascii="Times New Roman" w:hAnsi="Times New Roman"/>
          <w:b/>
          <w:sz w:val="22"/>
        </w:rPr>
        <w:t xml:space="preserve">Kadiwal, A. (2021) </w:t>
      </w:r>
      <w:r>
        <w:rPr>
          <w:rFonts w:ascii="Times New Roman" w:hAnsi="Times New Roman"/>
          <w:sz w:val="22"/>
        </w:rPr>
        <w:t>'Water Potability Dataset', Kaggle Datasets. Available at: https://www.kaggle.com/datasets/adityakadiwal/water-potability (Accessed: 15 October 2026).</w:t>
      </w:r>
    </w:p>
    <w:p>
      <w:pPr>
        <w:spacing w:line="276" w:lineRule="auto" w:after="80"/>
        <w:jc w:val="both"/>
      </w:pPr>
      <w:r>
        <w:rPr>
          <w:rFonts w:ascii="Times New Roman" w:hAnsi="Times New Roman"/>
          <w:b/>
          <w:sz w:val="22"/>
        </w:rPr>
        <w:t xml:space="preserve">Manning, C.D., Raghavan, P. and Schütze, H. (2008) </w:t>
      </w:r>
      <w:r>
        <w:rPr>
          <w:rFonts w:ascii="Times New Roman" w:hAnsi="Times New Roman"/>
          <w:sz w:val="22"/>
        </w:rPr>
        <w:t>Introduction to Information Retrieval, Cambridge, U.K.: Cambridge University Press.</w:t>
      </w:r>
    </w:p>
    <w:p>
      <w:pPr>
        <w:spacing w:line="276" w:lineRule="auto" w:after="80"/>
        <w:jc w:val="both"/>
      </w:pPr>
      <w:r>
        <w:rPr>
          <w:rFonts w:ascii="Times New Roman" w:hAnsi="Times New Roman"/>
          <w:b/>
          <w:sz w:val="22"/>
        </w:rPr>
        <w:t xml:space="preserve">Pedregosa, F., Varoquaux, G., Gramfort, A., Michel, V., Thirion, B., Grisel, O., Blondel, M., Prettenhofer, P., Weiss, R., Dubourg, V. and Vanderplas, J. (2011) </w:t>
      </w:r>
      <w:r>
        <w:rPr>
          <w:rFonts w:ascii="Times New Roman" w:hAnsi="Times New Roman"/>
          <w:sz w:val="22"/>
        </w:rPr>
        <w:t>'Scikit-learn: Machine Learning in Python', Journal of Machine Learning Research, vol. 12, pp. 2825–2830.</w:t>
      </w:r>
    </w:p>
    <w:p>
      <w:pPr>
        <w:spacing w:line="276" w:lineRule="auto" w:after="80"/>
        <w:jc w:val="both"/>
      </w:pPr>
      <w:r>
        <w:rPr>
          <w:rFonts w:ascii="Times New Roman" w:hAnsi="Times New Roman"/>
          <w:b/>
          <w:sz w:val="22"/>
        </w:rPr>
        <w:t xml:space="preserve">Russell, S. and Norvig, P. (2021) </w:t>
      </w:r>
      <w:r>
        <w:rPr>
          <w:rFonts w:ascii="Times New Roman" w:hAnsi="Times New Roman"/>
          <w:sz w:val="22"/>
        </w:rPr>
        <w:t>Artificial Intelligence: A Modern Approach, 4th ed., Hoboken, NJ, USA: Pearson.</w:t>
      </w:r>
    </w:p>
    <w:p>
      <w:pPr>
        <w:spacing w:line="276" w:lineRule="auto" w:after="80"/>
        <w:jc w:val="both"/>
      </w:pPr>
      <w:r>
        <w:rPr>
          <w:rFonts w:ascii="Times New Roman" w:hAnsi="Times New Roman"/>
          <w:b/>
          <w:sz w:val="22"/>
        </w:rPr>
        <w:t xml:space="preserve">Saha, S. and Bhowmik, S. (2020) </w:t>
      </w:r>
      <w:r>
        <w:rPr>
          <w:rFonts w:ascii="Times New Roman" w:hAnsi="Times New Roman"/>
          <w:sz w:val="22"/>
        </w:rPr>
        <w:t>'Water quality index prediction using machine learning algorithms: a case study of Surma River, Bangladesh', Environmental Monitoring and Assessment, vol. 192, no. 11, pp. 1–28. doi: 10.1007/s10661-020-08677-z.</w:t>
      </w:r>
    </w:p>
    <w:p>
      <w:pPr>
        <w:spacing w:line="276" w:lineRule="auto" w:after="80"/>
        <w:jc w:val="both"/>
      </w:pPr>
      <w:r>
        <w:rPr>
          <w:rFonts w:ascii="Times New Roman" w:hAnsi="Times New Roman"/>
          <w:b/>
          <w:sz w:val="22"/>
        </w:rPr>
        <w:t xml:space="preserve">Sutton, R.S. and Barto, A.G. (2018) </w:t>
      </w:r>
      <w:r>
        <w:rPr>
          <w:rFonts w:ascii="Times New Roman" w:hAnsi="Times New Roman"/>
          <w:sz w:val="22"/>
        </w:rPr>
        <w:t>Reinforcement Learning: An Introduction, 2nd ed., Cambridge, MA, USA: MIT Press.</w:t>
      </w:r>
    </w:p>
    <w:p>
      <w:pPr>
        <w:spacing w:line="276" w:lineRule="auto" w:after="80"/>
        <w:jc w:val="both"/>
      </w:pPr>
      <w:r>
        <w:rPr>
          <w:rFonts w:ascii="Times New Roman" w:hAnsi="Times New Roman"/>
          <w:b/>
          <w:sz w:val="22"/>
        </w:rPr>
        <w:t xml:space="preserve">Wooldridge, M. (2009) </w:t>
      </w:r>
      <w:r>
        <w:rPr>
          <w:rFonts w:ascii="Times New Roman" w:hAnsi="Times New Roman"/>
          <w:sz w:val="22"/>
        </w:rPr>
        <w:t>An Introduction to MultiAgent Systems, 2nd ed., Chichester, U.K.: John Wiley &amp; Sons.</w:t>
      </w:r>
    </w:p>
    <w:p>
      <w:pPr>
        <w:spacing w:line="276" w:lineRule="auto" w:after="80"/>
        <w:jc w:val="both"/>
      </w:pPr>
      <w:r>
        <w:rPr>
          <w:rFonts w:ascii="Times New Roman" w:hAnsi="Times New Roman"/>
          <w:b/>
          <w:sz w:val="22"/>
        </w:rPr>
        <w:t xml:space="preserve">World Health Organization (2022) </w:t>
      </w:r>
      <w:r>
        <w:rPr>
          <w:rFonts w:ascii="Times New Roman" w:hAnsi="Times New Roman"/>
          <w:sz w:val="22"/>
        </w:rPr>
        <w:t>Guidelines for Drinking-Water Quality: Fourth Edition Incorporating the First and Second Addenda, Geneva: World Health Organization. Available at: https://www.who.int/publications/i/item/9789240045064 (Accessed: 18 October 2026).</w:t>
      </w:r>
    </w:p>
    <w:p>
      <w:r>
        <w:br w:type="page"/>
      </w:r>
    </w:p>
    <w:p>
      <w:pPr>
        <w:spacing w:before="360" w:after="280" w:line="276" w:lineRule="auto"/>
        <w:jc w:val="center"/>
      </w:pPr>
      <w:r>
        <w:rPr>
          <w:rFonts w:ascii="Times New Roman" w:hAnsi="Times New Roman"/>
          <w:b/>
          <w:color w:val="000000"/>
          <w:sz w:val="36"/>
        </w:rPr>
        <w:t>APPENDIX A</w:t>
        <w:br/>
        <w:t>SYSTEM REQUIREMENTS AND TECHNOLOGIES</w:t>
      </w:r>
    </w:p>
    <w:p>
      <w:pPr>
        <w:spacing w:before="280" w:after="120" w:line="276" w:lineRule="auto"/>
        <w:jc w:val="left"/>
      </w:pPr>
      <w:r>
        <w:rPr>
          <w:rFonts w:ascii="Times New Roman" w:hAnsi="Times New Roman"/>
          <w:b/>
          <w:color w:val="000000"/>
          <w:sz w:val="32"/>
        </w:rPr>
        <w:t>A.1 Software Environment &amp; Dependencies</w:t>
      </w:r>
    </w:p>
    <w:p>
      <w:pPr>
        <w:spacing w:line="360" w:lineRule="auto" w:after="120"/>
        <w:jc w:val="both"/>
      </w:pPr>
      <w:r>
        <w:rPr>
          <w:rFonts w:ascii="Times New Roman" w:hAnsi="Times New Roman"/>
          <w:color w:val="000000"/>
          <w:sz w:val="24"/>
        </w:rPr>
        <w:t>• Operating System: Microsoft Windows 11 (64-bit) / Ubuntu Linux 22.04 LTS</w:t>
        <w:br/>
        <w:t>• Python Runtime: Python 3.11.x / 3.13.x with 64-bit architecture</w:t>
        <w:br/>
        <w:t>• Machine Learning: Scikit-Learn &gt;= 1.3.0, NumPy &gt;= 1.24.0, Pandas &gt;= 2.0.0, Joblib &gt;= 1.3.0</w:t>
        <w:br/>
        <w:t>• Spatial GIS &amp; Mapping: Folium &gt;= 0.15.0, Jinja2 &gt;= 3.1.0</w:t>
        <w:br/>
        <w:t>• Web Dashboard Framework: Streamlit &gt;= 1.30.0</w:t>
        <w:br/>
        <w:t>• Visualization: Matplotlib &gt;= 3.7.0, Seaborn &gt;= 0.12.0</w:t>
        <w:br/>
        <w:t>• Development IDE: Visual Studio Code, Git Version Control</w:t>
      </w:r>
    </w:p>
    <w:p>
      <w:pPr>
        <w:spacing w:before="280" w:after="120" w:line="276" w:lineRule="auto"/>
        <w:jc w:val="left"/>
      </w:pPr>
      <w:r>
        <w:rPr>
          <w:rFonts w:ascii="Times New Roman" w:hAnsi="Times New Roman"/>
          <w:b/>
          <w:color w:val="000000"/>
          <w:sz w:val="32"/>
        </w:rPr>
        <w:t>A.2 Hardware Specifications</w:t>
      </w:r>
    </w:p>
    <w:p>
      <w:pPr>
        <w:spacing w:line="360" w:lineRule="auto" w:after="120"/>
        <w:jc w:val="both"/>
      </w:pPr>
      <w:r>
        <w:rPr>
          <w:rFonts w:ascii="Times New Roman" w:hAnsi="Times New Roman"/>
          <w:color w:val="000000"/>
          <w:sz w:val="24"/>
        </w:rPr>
        <w:t>• Processor: Intel Core i5/i7 (11th Gen or higher) or AMD Ryzen 5/7</w:t>
        <w:br/>
        <w:t>• Memory: 16 GB DDR4/DDR5 RAM</w:t>
        <w:br/>
        <w:t>• Storage: 256 GB NVMe SSD with minimum 10 GB free space</w:t>
        <w:br/>
        <w:t>• Network: Standard broadband internet connection for map tile rendering</w:t>
      </w:r>
    </w:p>
    <w:p>
      <w:r>
        <w:br w:type="page"/>
      </w:r>
    </w:p>
    <w:p>
      <w:pPr>
        <w:spacing w:before="360" w:after="280" w:line="276" w:lineRule="auto"/>
        <w:jc w:val="center"/>
      </w:pPr>
      <w:r>
        <w:rPr>
          <w:rFonts w:ascii="Times New Roman" w:hAnsi="Times New Roman"/>
          <w:b/>
          <w:color w:val="000000"/>
          <w:sz w:val="36"/>
        </w:rPr>
        <w:t>APPENDIX B</w:t>
        <w:br/>
        <w:t>SCREENSHOTS OF THE IMPLEMENTED SYSTEM</w:t>
      </w:r>
    </w:p>
    <w:p>
      <w:pPr>
        <w:spacing w:before="280" w:after="120" w:line="276" w:lineRule="auto"/>
        <w:jc w:val="left"/>
      </w:pPr>
      <w:r>
        <w:rPr>
          <w:rFonts w:ascii="Times New Roman" w:hAnsi="Times New Roman"/>
          <w:b/>
          <w:color w:val="000000"/>
          <w:sz w:val="32"/>
        </w:rPr>
        <w:t>B.1 Streamlit Real-Time Risk Calculator</w:t>
      </w:r>
    </w:p>
    <w:p>
      <w:pPr>
        <w:spacing w:before="160" w:after="40"/>
        <w:jc w:val="center"/>
      </w:pPr>
      <w:r>
        <w:drawing>
          <wp:inline xmlns:a="http://schemas.openxmlformats.org/drawingml/2006/main" xmlns:pic="http://schemas.openxmlformats.org/drawingml/2006/picture">
            <wp:extent cx="5029200" cy="3424136"/>
            <wp:docPr id="11" name="Picture 11"/>
            <wp:cNvGraphicFramePr>
              <a:graphicFrameLocks noChangeAspect="1"/>
            </wp:cNvGraphicFramePr>
            <a:graphic>
              <a:graphicData uri="http://schemas.openxmlformats.org/drawingml/2006/picture">
                <pic:pic>
                  <pic:nvPicPr>
                    <pic:cNvPr id="0" name="ui_dashboard.png"/>
                    <pic:cNvPicPr/>
                  </pic:nvPicPr>
                  <pic:blipFill>
                    <a:blip r:embed="rId16"/>
                    <a:stretch>
                      <a:fillRect/>
                    </a:stretch>
                  </pic:blipFill>
                  <pic:spPr>
                    <a:xfrm>
                      <a:off x="0" y="0"/>
                      <a:ext cx="5029200" cy="3424136"/>
                    </a:xfrm>
                    <a:prstGeom prst="rect"/>
                  </pic:spPr>
                </pic:pic>
              </a:graphicData>
            </a:graphic>
          </wp:inline>
        </w:drawing>
      </w:r>
    </w:p>
    <w:p>
      <w:pPr>
        <w:spacing w:before="80" w:after="200"/>
        <w:jc w:val="center"/>
      </w:pPr>
      <w:r>
        <w:rPr>
          <w:rFonts w:ascii="Times New Roman" w:hAnsi="Times New Roman"/>
          <w:i/>
          <w:color w:val="000000"/>
          <w:sz w:val="22"/>
        </w:rPr>
        <w:t>Figure B.1: Streamlit Real-Time Water Quality Risk Calculator Interface</w:t>
      </w:r>
    </w:p>
    <w:p>
      <w:pPr>
        <w:spacing w:before="280" w:after="120" w:line="276" w:lineRule="auto"/>
        <w:jc w:val="left"/>
      </w:pPr>
      <w:r>
        <w:rPr>
          <w:rFonts w:ascii="Times New Roman" w:hAnsi="Times New Roman"/>
          <w:b/>
          <w:color w:val="000000"/>
          <w:sz w:val="32"/>
        </w:rPr>
        <w:t>B.2 Interactive Multi-Layer GIS Surveillance Map</w:t>
      </w:r>
    </w:p>
    <w:p>
      <w:pPr>
        <w:spacing w:before="160" w:after="40"/>
        <w:jc w:val="center"/>
      </w:pPr>
      <w:r>
        <w:drawing>
          <wp:inline xmlns:a="http://schemas.openxmlformats.org/drawingml/2006/main" xmlns:pic="http://schemas.openxmlformats.org/drawingml/2006/picture">
            <wp:extent cx="5029200" cy="3251200"/>
            <wp:docPr id="12" name="Picture 12"/>
            <wp:cNvGraphicFramePr>
              <a:graphicFrameLocks noChangeAspect="1"/>
            </wp:cNvGraphicFramePr>
            <a:graphic>
              <a:graphicData uri="http://schemas.openxmlformats.org/drawingml/2006/picture">
                <pic:pic>
                  <pic:nvPicPr>
                    <pic:cNvPr id="0" name="gis_map_view.png"/>
                    <pic:cNvPicPr/>
                  </pic:nvPicPr>
                  <pic:blipFill>
                    <a:blip r:embed="rId17"/>
                    <a:stretch>
                      <a:fillRect/>
                    </a:stretch>
                  </pic:blipFill>
                  <pic:spPr>
                    <a:xfrm>
                      <a:off x="0" y="0"/>
                      <a:ext cx="5029200" cy="3251200"/>
                    </a:xfrm>
                    <a:prstGeom prst="rect"/>
                  </pic:spPr>
                </pic:pic>
              </a:graphicData>
            </a:graphic>
          </wp:inline>
        </w:drawing>
      </w:r>
    </w:p>
    <w:p>
      <w:pPr>
        <w:spacing w:before="80" w:after="200"/>
        <w:jc w:val="center"/>
      </w:pPr>
      <w:r>
        <w:rPr>
          <w:rFonts w:ascii="Times New Roman" w:hAnsi="Times New Roman"/>
          <w:i/>
          <w:color w:val="000000"/>
          <w:sz w:val="22"/>
        </w:rPr>
        <w:t>Figure B.2: Interactive GIS Outbreak Risk Surveillance Map with Bangalore Ward Layers</w:t>
      </w:r>
    </w:p>
    <w:p>
      <w:pPr>
        <w:spacing w:before="280" w:after="120" w:line="276" w:lineRule="auto"/>
        <w:jc w:val="left"/>
      </w:pPr>
      <w:r>
        <w:rPr>
          <w:rFonts w:ascii="Times New Roman" w:hAnsi="Times New Roman"/>
          <w:b/>
          <w:color w:val="000000"/>
          <w:sz w:val="32"/>
        </w:rPr>
        <w:t>B.3 Model Benchmarking &amp; Multi-Model ROC Analytics</w:t>
      </w:r>
    </w:p>
    <w:p>
      <w:pPr>
        <w:spacing w:before="160" w:after="40"/>
        <w:jc w:val="center"/>
      </w:pPr>
      <w:r>
        <w:drawing>
          <wp:inline xmlns:a="http://schemas.openxmlformats.org/drawingml/2006/main" xmlns:pic="http://schemas.openxmlformats.org/drawingml/2006/picture">
            <wp:extent cx="4572000" cy="3500438"/>
            <wp:docPr id="13" name="Picture 13"/>
            <wp:cNvGraphicFramePr>
              <a:graphicFrameLocks noChangeAspect="1"/>
            </wp:cNvGraphicFramePr>
            <a:graphic>
              <a:graphicData uri="http://schemas.openxmlformats.org/drawingml/2006/picture">
                <pic:pic>
                  <pic:nvPicPr>
                    <pic:cNvPr id="0" name="roc_curve_comparison.png"/>
                    <pic:cNvPicPr/>
                  </pic:nvPicPr>
                  <pic:blipFill>
                    <a:blip r:embed="rId19"/>
                    <a:stretch>
                      <a:fillRect/>
                    </a:stretch>
                  </pic:blipFill>
                  <pic:spPr>
                    <a:xfrm>
                      <a:off x="0" y="0"/>
                      <a:ext cx="4572000" cy="3500438"/>
                    </a:xfrm>
                    <a:prstGeom prst="rect"/>
                  </pic:spPr>
                </pic:pic>
              </a:graphicData>
            </a:graphic>
          </wp:inline>
        </w:drawing>
      </w:r>
    </w:p>
    <w:p>
      <w:pPr>
        <w:spacing w:before="80" w:after="200"/>
        <w:jc w:val="center"/>
      </w:pPr>
      <w:r>
        <w:rPr>
          <w:rFonts w:ascii="Times New Roman" w:hAnsi="Times New Roman"/>
          <w:i/>
          <w:color w:val="000000"/>
          <w:sz w:val="22"/>
        </w:rPr>
        <w:t>Figure B.3: Model Cross-Validation Benchmarking and ROC-AUC Analytics Interface</w:t>
      </w:r>
    </w:p>
    <w:p>
      <w:pPr>
        <w:spacing w:before="280" w:after="120" w:line="276" w:lineRule="auto"/>
        <w:jc w:val="left"/>
      </w:pPr>
      <w:r>
        <w:rPr>
          <w:rFonts w:ascii="Times New Roman" w:hAnsi="Times New Roman"/>
          <w:b/>
          <w:color w:val="000000"/>
          <w:sz w:val="32"/>
        </w:rPr>
        <w:t>B.4 Feature Attribution and Gini Importance Ranking</w:t>
      </w:r>
    </w:p>
    <w:p>
      <w:pPr>
        <w:spacing w:before="160" w:after="40"/>
        <w:jc w:val="center"/>
      </w:pPr>
      <w:r>
        <w:drawing>
          <wp:inline xmlns:a="http://schemas.openxmlformats.org/drawingml/2006/main" xmlns:pic="http://schemas.openxmlformats.org/drawingml/2006/picture">
            <wp:extent cx="4572000" cy="2743200"/>
            <wp:docPr id="14" name="Picture 14"/>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572000" cy="2743200"/>
                    </a:xfrm>
                    <a:prstGeom prst="rect"/>
                  </pic:spPr>
                </pic:pic>
              </a:graphicData>
            </a:graphic>
          </wp:inline>
        </w:drawing>
      </w:r>
    </w:p>
    <w:p>
      <w:pPr>
        <w:spacing w:before="80" w:after="200"/>
        <w:jc w:val="center"/>
      </w:pPr>
      <w:r>
        <w:rPr>
          <w:rFonts w:ascii="Times New Roman" w:hAnsi="Times New Roman"/>
          <w:i/>
          <w:color w:val="000000"/>
          <w:sz w:val="22"/>
        </w:rPr>
        <w:t>Figure B.4: Gini Impurity Feature Importance Ranking Dashboard</w:t>
      </w:r>
    </w:p>
    <w:p>
      <w:r>
        <w:br w:type="page"/>
      </w:r>
    </w:p>
    <w:p>
      <w:pPr>
        <w:spacing w:before="360" w:after="280" w:line="276" w:lineRule="auto"/>
        <w:jc w:val="center"/>
      </w:pPr>
      <w:r>
        <w:rPr>
          <w:rFonts w:ascii="Times New Roman" w:hAnsi="Times New Roman"/>
          <w:b/>
          <w:color w:val="000000"/>
          <w:sz w:val="36"/>
        </w:rPr>
        <w:t>APPENDIX C</w:t>
        <w:br/>
        <w:t>SAMPLE TEST CASES AND RESULTS</w:t>
      </w:r>
    </w:p>
    <w:p>
      <w:pPr>
        <w:spacing w:line="360" w:lineRule="auto" w:after="120"/>
        <w:jc w:val="both"/>
      </w:pPr>
      <w:r>
        <w:rPr>
          <w:rFonts w:ascii="Times New Roman" w:hAnsi="Times New Roman"/>
          <w:color w:val="000000"/>
          <w:sz w:val="24"/>
        </w:rPr>
        <w:t>Table C.1 presents the functional verification test cases executed on the integrated prototype.</w:t>
      </w:r>
    </w:p>
    <w:p>
      <w:pPr>
        <w:spacing w:before="200" w:after="80"/>
        <w:jc w:val="center"/>
      </w:pPr>
      <w:r>
        <w:rPr>
          <w:rFonts w:ascii="Times New Roman" w:hAnsi="Times New Roman"/>
          <w:b/>
          <w:color w:val="000000"/>
          <w:sz w:val="22"/>
        </w:rPr>
        <w:t>Table C.1: End-to-End System Functional Verification Test Cases (TC-01 to TC-08)</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35" w:type="dxa"/>
              <w:bottom w:w="35" w:type="dxa"/>
              <w:left w:w="50" w:type="dxa"/>
              <w:right w:w="50" w:type="dxa"/>
            </w:tcMar>
            <w:shd w:fill="1F497D"/>
          </w:tcPr>
          <w:p>
            <w:r>
              <w:rPr>
                <w:b/>
                <w:color w:val="FFFFFF"/>
                <w:sz w:val="18"/>
              </w:rPr>
              <w:t>Test Case ID</w:t>
            </w:r>
          </w:p>
        </w:tc>
        <w:tc>
          <w:tcPr>
            <w:tcW w:type="dxa" w:w="1734"/>
            <w:tcMar>
              <w:top w:w="35" w:type="dxa"/>
              <w:bottom w:w="35" w:type="dxa"/>
              <w:left w:w="50" w:type="dxa"/>
              <w:right w:w="50" w:type="dxa"/>
            </w:tcMar>
            <w:shd w:fill="1F497D"/>
          </w:tcPr>
          <w:p>
            <w:r>
              <w:rPr>
                <w:b/>
                <w:color w:val="FFFFFF"/>
                <w:sz w:val="18"/>
              </w:rPr>
              <w:t>Test Scenario</w:t>
            </w:r>
          </w:p>
        </w:tc>
        <w:tc>
          <w:tcPr>
            <w:tcW w:type="dxa" w:w="1734"/>
            <w:tcMar>
              <w:top w:w="35" w:type="dxa"/>
              <w:bottom w:w="35" w:type="dxa"/>
              <w:left w:w="50" w:type="dxa"/>
              <w:right w:w="50" w:type="dxa"/>
            </w:tcMar>
            <w:shd w:fill="1F497D"/>
          </w:tcPr>
          <w:p>
            <w:r>
              <w:rPr>
                <w:b/>
                <w:color w:val="FFFFFF"/>
                <w:sz w:val="18"/>
              </w:rPr>
              <w:t>Input Data</w:t>
            </w:r>
          </w:p>
        </w:tc>
        <w:tc>
          <w:tcPr>
            <w:tcW w:type="dxa" w:w="1734"/>
            <w:tcMar>
              <w:top w:w="35" w:type="dxa"/>
              <w:bottom w:w="35" w:type="dxa"/>
              <w:left w:w="50" w:type="dxa"/>
              <w:right w:w="50" w:type="dxa"/>
            </w:tcMar>
            <w:shd w:fill="1F497D"/>
          </w:tcPr>
          <w:p>
            <w:r>
              <w:rPr>
                <w:b/>
                <w:color w:val="FFFFFF"/>
                <w:sz w:val="18"/>
              </w:rPr>
              <w:t>Expected Output</w:t>
            </w:r>
          </w:p>
        </w:tc>
        <w:tc>
          <w:tcPr>
            <w:tcW w:type="dxa" w:w="1734"/>
            <w:tcMar>
              <w:top w:w="35" w:type="dxa"/>
              <w:bottom w:w="35" w:type="dxa"/>
              <w:left w:w="50" w:type="dxa"/>
              <w:right w:w="50" w:type="dxa"/>
            </w:tcMar>
            <w:shd w:fill="1F497D"/>
          </w:tcPr>
          <w:p>
            <w:r>
              <w:rPr>
                <w:b/>
                <w:color w:val="FFFFFF"/>
                <w:sz w:val="18"/>
              </w:rPr>
              <w:t>Actual Result</w:t>
            </w:r>
          </w:p>
        </w:tc>
      </w:tr>
      <w:tr>
        <w:tc>
          <w:tcPr>
            <w:tcW w:type="dxa" w:w="1734"/>
            <w:tcMar>
              <w:top w:w="35" w:type="dxa"/>
              <w:bottom w:w="35" w:type="dxa"/>
              <w:left w:w="50" w:type="dxa"/>
              <w:right w:w="50" w:type="dxa"/>
            </w:tcMar>
            <w:shd w:fill="F9FAFB"/>
          </w:tcPr>
          <w:p>
            <w:r>
              <w:rPr>
                <w:sz w:val="16"/>
              </w:rPr>
              <w:t>TC-01</w:t>
            </w:r>
          </w:p>
        </w:tc>
        <w:tc>
          <w:tcPr>
            <w:tcW w:type="dxa" w:w="1734"/>
            <w:tcMar>
              <w:top w:w="35" w:type="dxa"/>
              <w:bottom w:w="35" w:type="dxa"/>
              <w:left w:w="50" w:type="dxa"/>
              <w:right w:w="50" w:type="dxa"/>
            </w:tcMar>
            <w:shd w:fill="F9FAFB"/>
          </w:tcPr>
          <w:p>
            <w:r>
              <w:rPr>
                <w:sz w:val="16"/>
              </w:rPr>
              <w:t>Sensor Telemetry Ingestion</w:t>
            </w:r>
          </w:p>
        </w:tc>
        <w:tc>
          <w:tcPr>
            <w:tcW w:type="dxa" w:w="1734"/>
            <w:tcMar>
              <w:top w:w="35" w:type="dxa"/>
              <w:bottom w:w="35" w:type="dxa"/>
              <w:left w:w="50" w:type="dxa"/>
              <w:right w:w="50" w:type="dxa"/>
            </w:tcMar>
            <w:shd w:fill="F9FAFB"/>
          </w:tcPr>
          <w:p>
            <w:r>
              <w:rPr>
                <w:sz w:val="16"/>
              </w:rPr>
              <w:t>3,276 Kaggle water records</w:t>
            </w:r>
          </w:p>
        </w:tc>
        <w:tc>
          <w:tcPr>
            <w:tcW w:type="dxa" w:w="1734"/>
            <w:tcMar>
              <w:top w:w="35" w:type="dxa"/>
              <w:bottom w:w="35" w:type="dxa"/>
              <w:left w:w="50" w:type="dxa"/>
              <w:right w:w="50" w:type="dxa"/>
            </w:tcMar>
            <w:shd w:fill="F9FAFB"/>
          </w:tcPr>
          <w:p>
            <w:r>
              <w:rPr>
                <w:sz w:val="16"/>
              </w:rPr>
              <w:t>All 3,276 rows loaded into Pandas DataFrame</w:t>
            </w:r>
          </w:p>
        </w:tc>
        <w:tc>
          <w:tcPr>
            <w:tcW w:type="dxa" w:w="1734"/>
            <w:tcMar>
              <w:top w:w="35" w:type="dxa"/>
              <w:bottom w:w="35" w:type="dxa"/>
              <w:left w:w="50" w:type="dxa"/>
              <w:right w:w="50" w:type="dxa"/>
            </w:tcMar>
            <w:shd w:fill="F9FAFB"/>
          </w:tcPr>
          <w:p>
            <w:r>
              <w:rPr>
                <w:sz w:val="16"/>
              </w:rPr>
              <w:t>PASS: Shape (3276, 10) verified</w:t>
            </w:r>
          </w:p>
        </w:tc>
      </w:tr>
      <w:tr>
        <w:tc>
          <w:tcPr>
            <w:tcW w:type="dxa" w:w="1734"/>
            <w:tcMar>
              <w:top w:w="35" w:type="dxa"/>
              <w:bottom w:w="35" w:type="dxa"/>
              <w:left w:w="50" w:type="dxa"/>
              <w:right w:w="50" w:type="dxa"/>
            </w:tcMar>
          </w:tcPr>
          <w:p>
            <w:r>
              <w:rPr>
                <w:sz w:val="16"/>
              </w:rPr>
              <w:t>TC-02</w:t>
            </w:r>
          </w:p>
        </w:tc>
        <w:tc>
          <w:tcPr>
            <w:tcW w:type="dxa" w:w="1734"/>
            <w:tcMar>
              <w:top w:w="35" w:type="dxa"/>
              <w:bottom w:w="35" w:type="dxa"/>
              <w:left w:w="50" w:type="dxa"/>
              <w:right w:w="50" w:type="dxa"/>
            </w:tcMar>
          </w:tcPr>
          <w:p>
            <w:r>
              <w:rPr>
                <w:sz w:val="16"/>
              </w:rPr>
              <w:t>Median Imputation Audit</w:t>
            </w:r>
          </w:p>
        </w:tc>
        <w:tc>
          <w:tcPr>
            <w:tcW w:type="dxa" w:w="1734"/>
            <w:tcMar>
              <w:top w:w="35" w:type="dxa"/>
              <w:bottom w:w="35" w:type="dxa"/>
              <w:left w:w="50" w:type="dxa"/>
              <w:right w:w="50" w:type="dxa"/>
            </w:tcMar>
          </w:tcPr>
          <w:p>
            <w:r>
              <w:rPr>
                <w:sz w:val="16"/>
              </w:rPr>
              <w:t>1,434 NaN values in pH, Sulfate, THM</w:t>
            </w:r>
          </w:p>
        </w:tc>
        <w:tc>
          <w:tcPr>
            <w:tcW w:type="dxa" w:w="1734"/>
            <w:tcMar>
              <w:top w:w="35" w:type="dxa"/>
              <w:bottom w:w="35" w:type="dxa"/>
              <w:left w:w="50" w:type="dxa"/>
              <w:right w:w="50" w:type="dxa"/>
            </w:tcMar>
          </w:tcPr>
          <w:p>
            <w:r>
              <w:rPr>
                <w:sz w:val="16"/>
              </w:rPr>
              <w:t>0 NaNs remaining, zero row loss</w:t>
            </w:r>
          </w:p>
        </w:tc>
        <w:tc>
          <w:tcPr>
            <w:tcW w:type="dxa" w:w="1734"/>
            <w:tcMar>
              <w:top w:w="35" w:type="dxa"/>
              <w:bottom w:w="35" w:type="dxa"/>
              <w:left w:w="50" w:type="dxa"/>
              <w:right w:w="50" w:type="dxa"/>
            </w:tcMar>
          </w:tcPr>
          <w:p>
            <w:r>
              <w:rPr>
                <w:sz w:val="16"/>
              </w:rPr>
              <w:t>PASS: 0 missing values post-imputation</w:t>
            </w:r>
          </w:p>
        </w:tc>
      </w:tr>
      <w:tr>
        <w:tc>
          <w:tcPr>
            <w:tcW w:type="dxa" w:w="1734"/>
            <w:tcMar>
              <w:top w:w="35" w:type="dxa"/>
              <w:bottom w:w="35" w:type="dxa"/>
              <w:left w:w="50" w:type="dxa"/>
              <w:right w:w="50" w:type="dxa"/>
            </w:tcMar>
            <w:shd w:fill="F9FAFB"/>
          </w:tcPr>
          <w:p>
            <w:r>
              <w:rPr>
                <w:sz w:val="16"/>
              </w:rPr>
              <w:t>TC-03</w:t>
            </w:r>
          </w:p>
        </w:tc>
        <w:tc>
          <w:tcPr>
            <w:tcW w:type="dxa" w:w="1734"/>
            <w:tcMar>
              <w:top w:w="35" w:type="dxa"/>
              <w:bottom w:w="35" w:type="dxa"/>
              <w:left w:w="50" w:type="dxa"/>
              <w:right w:w="50" w:type="dxa"/>
            </w:tcMar>
            <w:shd w:fill="F9FAFB"/>
          </w:tcPr>
          <w:p>
            <w:r>
              <w:rPr>
                <w:sz w:val="16"/>
              </w:rPr>
              <w:t>Feature Engineering Calculation</w:t>
            </w:r>
          </w:p>
        </w:tc>
        <w:tc>
          <w:tcPr>
            <w:tcW w:type="dxa" w:w="1734"/>
            <w:tcMar>
              <w:top w:w="35" w:type="dxa"/>
              <w:bottom w:w="35" w:type="dxa"/>
              <w:left w:w="50" w:type="dxa"/>
              <w:right w:w="50" w:type="dxa"/>
            </w:tcMar>
            <w:shd w:fill="F9FAFB"/>
          </w:tcPr>
          <w:p>
            <w:r>
              <w:rPr>
                <w:sz w:val="16"/>
              </w:rPr>
              <w:t>Turbidity, Organic Carbon, THM</w:t>
            </w:r>
          </w:p>
        </w:tc>
        <w:tc>
          <w:tcPr>
            <w:tcW w:type="dxa" w:w="1734"/>
            <w:tcMar>
              <w:top w:w="35" w:type="dxa"/>
              <w:bottom w:w="35" w:type="dxa"/>
              <w:left w:w="50" w:type="dxa"/>
              <w:right w:w="50" w:type="dxa"/>
            </w:tcMar>
            <w:shd w:fill="F9FAFB"/>
          </w:tcPr>
          <w:p>
            <w:r>
              <w:rPr>
                <w:sz w:val="16"/>
              </w:rPr>
              <w:t>CRI bounded in [0, 1] range</w:t>
            </w:r>
          </w:p>
        </w:tc>
        <w:tc>
          <w:tcPr>
            <w:tcW w:type="dxa" w:w="1734"/>
            <w:tcMar>
              <w:top w:w="35" w:type="dxa"/>
              <w:bottom w:w="35" w:type="dxa"/>
              <w:left w:w="50" w:type="dxa"/>
              <w:right w:w="50" w:type="dxa"/>
            </w:tcMar>
            <w:shd w:fill="F9FAFB"/>
          </w:tcPr>
          <w:p>
            <w:r>
              <w:rPr>
                <w:sz w:val="16"/>
              </w:rPr>
              <w:t>PASS: Mean CRI = 0.4912, std = 0.148</w:t>
            </w:r>
          </w:p>
        </w:tc>
      </w:tr>
      <w:tr>
        <w:tc>
          <w:tcPr>
            <w:tcW w:type="dxa" w:w="1734"/>
            <w:tcMar>
              <w:top w:w="35" w:type="dxa"/>
              <w:bottom w:w="35" w:type="dxa"/>
              <w:left w:w="50" w:type="dxa"/>
              <w:right w:w="50" w:type="dxa"/>
            </w:tcMar>
          </w:tcPr>
          <w:p>
            <w:r>
              <w:rPr>
                <w:sz w:val="16"/>
              </w:rPr>
              <w:t>TC-04</w:t>
            </w:r>
          </w:p>
        </w:tc>
        <w:tc>
          <w:tcPr>
            <w:tcW w:type="dxa" w:w="1734"/>
            <w:tcMar>
              <w:top w:w="35" w:type="dxa"/>
              <w:bottom w:w="35" w:type="dxa"/>
              <w:left w:w="50" w:type="dxa"/>
              <w:right w:w="50" w:type="dxa"/>
            </w:tcMar>
          </w:tcPr>
          <w:p>
            <w:r>
              <w:rPr>
                <w:sz w:val="16"/>
              </w:rPr>
              <w:t>Model Training &amp; Serialization</w:t>
            </w:r>
          </w:p>
        </w:tc>
        <w:tc>
          <w:tcPr>
            <w:tcW w:type="dxa" w:w="1734"/>
            <w:tcMar>
              <w:top w:w="35" w:type="dxa"/>
              <w:bottom w:w="35" w:type="dxa"/>
              <w:left w:w="50" w:type="dxa"/>
              <w:right w:w="50" w:type="dxa"/>
            </w:tcMar>
          </w:tcPr>
          <w:p>
            <w:r>
              <w:rPr>
                <w:sz w:val="16"/>
              </w:rPr>
              <w:t>Engineered DataFrame (11 features)</w:t>
            </w:r>
          </w:p>
        </w:tc>
        <w:tc>
          <w:tcPr>
            <w:tcW w:type="dxa" w:w="1734"/>
            <w:tcMar>
              <w:top w:w="35" w:type="dxa"/>
              <w:bottom w:w="35" w:type="dxa"/>
              <w:left w:w="50" w:type="dxa"/>
              <w:right w:w="50" w:type="dxa"/>
            </w:tcMar>
          </w:tcPr>
          <w:p>
            <w:r>
              <w:rPr>
                <w:sz w:val="16"/>
              </w:rPr>
              <w:t>Joblib artifacts persisted to models/</w:t>
            </w:r>
          </w:p>
        </w:tc>
        <w:tc>
          <w:tcPr>
            <w:tcW w:type="dxa" w:w="1734"/>
            <w:tcMar>
              <w:top w:w="35" w:type="dxa"/>
              <w:bottom w:w="35" w:type="dxa"/>
              <w:left w:w="50" w:type="dxa"/>
              <w:right w:w="50" w:type="dxa"/>
            </w:tcMar>
          </w:tcPr>
          <w:p>
            <w:r>
              <w:rPr>
                <w:sz w:val="16"/>
              </w:rPr>
              <w:t>PASS: water_risk_rf_model.pkl saved</w:t>
            </w:r>
          </w:p>
        </w:tc>
      </w:tr>
      <w:tr>
        <w:tc>
          <w:tcPr>
            <w:tcW w:type="dxa" w:w="1734"/>
            <w:tcMar>
              <w:top w:w="35" w:type="dxa"/>
              <w:bottom w:w="35" w:type="dxa"/>
              <w:left w:w="50" w:type="dxa"/>
              <w:right w:w="50" w:type="dxa"/>
            </w:tcMar>
            <w:shd w:fill="F9FAFB"/>
          </w:tcPr>
          <w:p>
            <w:r>
              <w:rPr>
                <w:sz w:val="16"/>
              </w:rPr>
              <w:t>TC-05</w:t>
            </w:r>
          </w:p>
        </w:tc>
        <w:tc>
          <w:tcPr>
            <w:tcW w:type="dxa" w:w="1734"/>
            <w:tcMar>
              <w:top w:w="35" w:type="dxa"/>
              <w:bottom w:w="35" w:type="dxa"/>
              <w:left w:w="50" w:type="dxa"/>
              <w:right w:w="50" w:type="dxa"/>
            </w:tcMar>
            <w:shd w:fill="F9FAFB"/>
          </w:tcPr>
          <w:p>
            <w:r>
              <w:rPr>
                <w:sz w:val="16"/>
              </w:rPr>
              <w:t>Holdout Unsafe Water Recall</w:t>
            </w:r>
          </w:p>
        </w:tc>
        <w:tc>
          <w:tcPr>
            <w:tcW w:type="dxa" w:w="1734"/>
            <w:tcMar>
              <w:top w:w="35" w:type="dxa"/>
              <w:bottom w:w="35" w:type="dxa"/>
              <w:left w:w="50" w:type="dxa"/>
              <w:right w:w="50" w:type="dxa"/>
            </w:tcMar>
            <w:shd w:fill="F9FAFB"/>
          </w:tcPr>
          <w:p>
            <w:r>
              <w:rPr>
                <w:sz w:val="16"/>
              </w:rPr>
              <w:t>656 holdout test samples</w:t>
            </w:r>
          </w:p>
        </w:tc>
        <w:tc>
          <w:tcPr>
            <w:tcW w:type="dxa" w:w="1734"/>
            <w:tcMar>
              <w:top w:w="35" w:type="dxa"/>
              <w:bottom w:w="35" w:type="dxa"/>
              <w:left w:w="50" w:type="dxa"/>
              <w:right w:w="50" w:type="dxa"/>
            </w:tcMar>
            <w:shd w:fill="F9FAFB"/>
          </w:tcPr>
          <w:p>
            <w:r>
              <w:rPr>
                <w:sz w:val="16"/>
              </w:rPr>
              <w:t>Recall on Class 0 &gt;= 70%</w:t>
            </w:r>
          </w:p>
        </w:tc>
        <w:tc>
          <w:tcPr>
            <w:tcW w:type="dxa" w:w="1734"/>
            <w:tcMar>
              <w:top w:w="35" w:type="dxa"/>
              <w:bottom w:w="35" w:type="dxa"/>
              <w:left w:w="50" w:type="dxa"/>
              <w:right w:w="50" w:type="dxa"/>
            </w:tcMar>
            <w:shd w:fill="F9FAFB"/>
          </w:tcPr>
          <w:p>
            <w:r>
              <w:rPr>
                <w:sz w:val="16"/>
              </w:rPr>
              <w:t>PASS: 76.0% Recall achieved (304/400)</w:t>
            </w:r>
          </w:p>
        </w:tc>
      </w:tr>
      <w:tr>
        <w:tc>
          <w:tcPr>
            <w:tcW w:type="dxa" w:w="1734"/>
            <w:tcMar>
              <w:top w:w="35" w:type="dxa"/>
              <w:bottom w:w="35" w:type="dxa"/>
              <w:left w:w="50" w:type="dxa"/>
              <w:right w:w="50" w:type="dxa"/>
            </w:tcMar>
          </w:tcPr>
          <w:p>
            <w:r>
              <w:rPr>
                <w:sz w:val="16"/>
              </w:rPr>
              <w:t>TC-06</w:t>
            </w:r>
          </w:p>
        </w:tc>
        <w:tc>
          <w:tcPr>
            <w:tcW w:type="dxa" w:w="1734"/>
            <w:tcMar>
              <w:top w:w="35" w:type="dxa"/>
              <w:bottom w:w="35" w:type="dxa"/>
              <w:left w:w="50" w:type="dxa"/>
              <w:right w:w="50" w:type="dxa"/>
            </w:tcMar>
          </w:tcPr>
          <w:p>
            <w:r>
              <w:rPr>
                <w:sz w:val="16"/>
              </w:rPr>
              <w:t>GIS Map Generation</w:t>
            </w:r>
          </w:p>
        </w:tc>
        <w:tc>
          <w:tcPr>
            <w:tcW w:type="dxa" w:w="1734"/>
            <w:tcMar>
              <w:top w:w="35" w:type="dxa"/>
              <w:bottom w:w="35" w:type="dxa"/>
              <w:left w:w="50" w:type="dxa"/>
              <w:right w:w="50" w:type="dxa"/>
            </w:tcMar>
          </w:tcPr>
          <w:p>
            <w:r>
              <w:rPr>
                <w:sz w:val="16"/>
              </w:rPr>
              <w:t>12 Bangalore ward coordinate nodes</w:t>
            </w:r>
          </w:p>
        </w:tc>
        <w:tc>
          <w:tcPr>
            <w:tcW w:type="dxa" w:w="1734"/>
            <w:tcMar>
              <w:top w:w="35" w:type="dxa"/>
              <w:bottom w:w="35" w:type="dxa"/>
              <w:left w:w="50" w:type="dxa"/>
              <w:right w:w="50" w:type="dxa"/>
            </w:tcMar>
          </w:tcPr>
          <w:p>
            <w:r>
              <w:rPr>
                <w:sz w:val="16"/>
              </w:rPr>
              <w:t>outbreak_risk_map.html generated</w:t>
            </w:r>
          </w:p>
        </w:tc>
        <w:tc>
          <w:tcPr>
            <w:tcW w:type="dxa" w:w="1734"/>
            <w:tcMar>
              <w:top w:w="35" w:type="dxa"/>
              <w:bottom w:w="35" w:type="dxa"/>
              <w:left w:w="50" w:type="dxa"/>
              <w:right w:w="50" w:type="dxa"/>
            </w:tcMar>
          </w:tcPr>
          <w:p>
            <w:r>
              <w:rPr>
                <w:sz w:val="16"/>
              </w:rPr>
              <w:t>PASS: HTML map with 3-tier colors built</w:t>
            </w:r>
          </w:p>
        </w:tc>
      </w:tr>
      <w:tr>
        <w:tc>
          <w:tcPr>
            <w:tcW w:type="dxa" w:w="1734"/>
            <w:tcMar>
              <w:top w:w="35" w:type="dxa"/>
              <w:bottom w:w="35" w:type="dxa"/>
              <w:left w:w="50" w:type="dxa"/>
              <w:right w:w="50" w:type="dxa"/>
            </w:tcMar>
            <w:shd w:fill="F9FAFB"/>
          </w:tcPr>
          <w:p>
            <w:r>
              <w:rPr>
                <w:sz w:val="16"/>
              </w:rPr>
              <w:t>TC-07</w:t>
            </w:r>
          </w:p>
        </w:tc>
        <w:tc>
          <w:tcPr>
            <w:tcW w:type="dxa" w:w="1734"/>
            <w:tcMar>
              <w:top w:w="35" w:type="dxa"/>
              <w:bottom w:w="35" w:type="dxa"/>
              <w:left w:w="50" w:type="dxa"/>
              <w:right w:w="50" w:type="dxa"/>
            </w:tcMar>
            <w:shd w:fill="F9FAFB"/>
          </w:tcPr>
          <w:p>
            <w:r>
              <w:rPr>
                <w:sz w:val="16"/>
              </w:rPr>
              <w:t>Streamlit UI Launch</w:t>
            </w:r>
          </w:p>
        </w:tc>
        <w:tc>
          <w:tcPr>
            <w:tcW w:type="dxa" w:w="1734"/>
            <w:tcMar>
              <w:top w:w="35" w:type="dxa"/>
              <w:bottom w:w="35" w:type="dxa"/>
              <w:left w:w="50" w:type="dxa"/>
              <w:right w:w="50" w:type="dxa"/>
            </w:tcMar>
            <w:shd w:fill="F9FAFB"/>
          </w:tcPr>
          <w:p>
            <w:r>
              <w:rPr>
                <w:sz w:val="16"/>
              </w:rPr>
              <w:t>streamlit run app.py</w:t>
            </w:r>
          </w:p>
        </w:tc>
        <w:tc>
          <w:tcPr>
            <w:tcW w:type="dxa" w:w="1734"/>
            <w:tcMar>
              <w:top w:w="35" w:type="dxa"/>
              <w:bottom w:w="35" w:type="dxa"/>
              <w:left w:w="50" w:type="dxa"/>
              <w:right w:w="50" w:type="dxa"/>
            </w:tcMar>
            <w:shd w:fill="F9FAFB"/>
          </w:tcPr>
          <w:p>
            <w:r>
              <w:rPr>
                <w:sz w:val="16"/>
              </w:rPr>
              <w:t>Dashboard accessible on localhost:8501</w:t>
            </w:r>
          </w:p>
        </w:tc>
        <w:tc>
          <w:tcPr>
            <w:tcW w:type="dxa" w:w="1734"/>
            <w:tcMar>
              <w:top w:w="35" w:type="dxa"/>
              <w:bottom w:w="35" w:type="dxa"/>
              <w:left w:w="50" w:type="dxa"/>
              <w:right w:w="50" w:type="dxa"/>
            </w:tcMar>
            <w:shd w:fill="F9FAFB"/>
          </w:tcPr>
          <w:p>
            <w:r>
              <w:rPr>
                <w:sz w:val="16"/>
              </w:rPr>
              <w:t>PASS: 4-tab interface renders cleanly</w:t>
            </w:r>
          </w:p>
        </w:tc>
      </w:tr>
      <w:tr>
        <w:tc>
          <w:tcPr>
            <w:tcW w:type="dxa" w:w="1734"/>
            <w:tcMar>
              <w:top w:w="35" w:type="dxa"/>
              <w:bottom w:w="35" w:type="dxa"/>
              <w:left w:w="50" w:type="dxa"/>
              <w:right w:w="50" w:type="dxa"/>
            </w:tcMar>
          </w:tcPr>
          <w:p>
            <w:r>
              <w:rPr>
                <w:sz w:val="16"/>
              </w:rPr>
              <w:t>TC-08</w:t>
            </w:r>
          </w:p>
        </w:tc>
        <w:tc>
          <w:tcPr>
            <w:tcW w:type="dxa" w:w="1734"/>
            <w:tcMar>
              <w:top w:w="35" w:type="dxa"/>
              <w:bottom w:w="35" w:type="dxa"/>
              <w:left w:w="50" w:type="dxa"/>
              <w:right w:w="50" w:type="dxa"/>
            </w:tcMar>
          </w:tcPr>
          <w:p>
            <w:r>
              <w:rPr>
                <w:sz w:val="16"/>
              </w:rPr>
              <w:t>Batch CSV Triage</w:t>
            </w:r>
          </w:p>
        </w:tc>
        <w:tc>
          <w:tcPr>
            <w:tcW w:type="dxa" w:w="1734"/>
            <w:tcMar>
              <w:top w:w="35" w:type="dxa"/>
              <w:bottom w:w="35" w:type="dxa"/>
              <w:left w:w="50" w:type="dxa"/>
              <w:right w:w="50" w:type="dxa"/>
            </w:tcMar>
          </w:tcPr>
          <w:p>
            <w:r>
              <w:rPr>
                <w:sz w:val="16"/>
              </w:rPr>
              <w:t>Upload test_batch.csv with 50 samples</w:t>
            </w:r>
          </w:p>
        </w:tc>
        <w:tc>
          <w:tcPr>
            <w:tcW w:type="dxa" w:w="1734"/>
            <w:tcMar>
              <w:top w:w="35" w:type="dxa"/>
              <w:bottom w:w="35" w:type="dxa"/>
              <w:left w:w="50" w:type="dxa"/>
              <w:right w:w="50" w:type="dxa"/>
            </w:tcMar>
          </w:tcPr>
          <w:p>
            <w:r>
              <w:rPr>
                <w:sz w:val="16"/>
              </w:rPr>
              <w:t>Instant ward risk table and export</w:t>
            </w:r>
          </w:p>
        </w:tc>
        <w:tc>
          <w:tcPr>
            <w:tcW w:type="dxa" w:w="1734"/>
            <w:tcMar>
              <w:top w:w="35" w:type="dxa"/>
              <w:bottom w:w="35" w:type="dxa"/>
              <w:left w:w="50" w:type="dxa"/>
              <w:right w:w="50" w:type="dxa"/>
            </w:tcMar>
          </w:tcPr>
          <w:p>
            <w:r>
              <w:rPr>
                <w:sz w:val="16"/>
              </w:rPr>
              <w:t>PASS: Processed in 42 ms without error</w:t>
            </w:r>
          </w:p>
        </w:tc>
      </w:tr>
    </w:tbl>
    <w:p>
      <w:r>
        <w:br w:type="page"/>
      </w:r>
    </w:p>
    <w:p>
      <w:pPr>
        <w:spacing w:before="360" w:after="280" w:line="276" w:lineRule="auto"/>
        <w:jc w:val="center"/>
      </w:pPr>
      <w:r>
        <w:rPr>
          <w:rFonts w:ascii="Times New Roman" w:hAnsi="Times New Roman"/>
          <w:b/>
          <w:color w:val="000000"/>
          <w:sz w:val="36"/>
        </w:rPr>
        <w:t>APPENDIX D</w:t>
        <w:br/>
        <w:t>ENCLOSURES AND SDG MAPPING</w:t>
      </w:r>
    </w:p>
    <w:p>
      <w:pPr>
        <w:spacing w:before="280" w:after="120" w:line="276" w:lineRule="auto"/>
        <w:jc w:val="left"/>
      </w:pPr>
      <w:r>
        <w:rPr>
          <w:rFonts w:ascii="Times New Roman" w:hAnsi="Times New Roman"/>
          <w:b/>
          <w:color w:val="000000"/>
          <w:sz w:val="32"/>
        </w:rPr>
        <w:t>D.1 United Nations Sustainable Development Goals (SDG) Alignment</w:t>
      </w:r>
    </w:p>
    <w:p>
      <w:pPr>
        <w:spacing w:line="360" w:lineRule="auto" w:after="120"/>
        <w:jc w:val="both"/>
      </w:pPr>
      <w:r>
        <w:rPr>
          <w:rFonts w:ascii="Times New Roman" w:hAnsi="Times New Roman"/>
          <w:color w:val="000000"/>
          <w:sz w:val="24"/>
        </w:rPr>
        <w:t>Project PRJ_441 directly operationalizes the United Nations 2030 Agenda for Sustainable Development across three primary goals, as summarized in Table D.1.</w:t>
      </w:r>
    </w:p>
    <w:p>
      <w:pPr>
        <w:spacing w:before="200" w:after="80"/>
        <w:jc w:val="center"/>
      </w:pPr>
      <w:r>
        <w:rPr>
          <w:rFonts w:ascii="Times New Roman" w:hAnsi="Times New Roman"/>
          <w:b/>
          <w:color w:val="000000"/>
          <w:sz w:val="22"/>
        </w:rPr>
        <w:t>Table D.1: Mapping of Project Deliverables to United Nations Sustainable Development Goals</w:t>
      </w:r>
    </w:p>
    <w:tbl>
      <w:tblPr>
        <w:tblW w:type="auto" w:w="0"/>
        <w:jc w:val="center"/>
        <w:tblLook w:firstColumn="1" w:firstRow="1" w:lastColumn="0" w:lastRow="0" w:noHBand="0" w:noVBand="1" w:val="04A0"/>
      </w:tblPr>
      <w:tblGrid>
        <w:gridCol w:w="2890"/>
        <w:gridCol w:w="2890"/>
        <w:gridCol w:w="2890"/>
      </w:tblGrid>
      <w:tr>
        <w:tc>
          <w:tcPr>
            <w:tcW w:type="dxa" w:w="2890"/>
            <w:tcMar>
              <w:top w:w="40" w:type="dxa"/>
              <w:bottom w:w="40" w:type="dxa"/>
              <w:left w:w="60" w:type="dxa"/>
              <w:right w:w="60" w:type="dxa"/>
            </w:tcMar>
            <w:shd w:fill="1F497D"/>
          </w:tcPr>
          <w:p>
            <w:r>
              <w:rPr>
                <w:b/>
                <w:color w:val="FFFFFF"/>
                <w:sz w:val="19"/>
              </w:rPr>
              <w:t>UN Sustainable Development Goal</w:t>
            </w:r>
          </w:p>
        </w:tc>
        <w:tc>
          <w:tcPr>
            <w:tcW w:type="dxa" w:w="2890"/>
            <w:tcMar>
              <w:top w:w="40" w:type="dxa"/>
              <w:bottom w:w="40" w:type="dxa"/>
              <w:left w:w="60" w:type="dxa"/>
              <w:right w:w="60" w:type="dxa"/>
            </w:tcMar>
            <w:shd w:fill="1F497D"/>
          </w:tcPr>
          <w:p>
            <w:r>
              <w:rPr>
                <w:b/>
                <w:color w:val="FFFFFF"/>
                <w:sz w:val="19"/>
              </w:rPr>
              <w:t>Specific Target</w:t>
            </w:r>
          </w:p>
        </w:tc>
        <w:tc>
          <w:tcPr>
            <w:tcW w:type="dxa" w:w="2890"/>
            <w:tcMar>
              <w:top w:w="40" w:type="dxa"/>
              <w:bottom w:w="40" w:type="dxa"/>
              <w:left w:w="60" w:type="dxa"/>
              <w:right w:w="60" w:type="dxa"/>
            </w:tcMar>
            <w:shd w:fill="1F497D"/>
          </w:tcPr>
          <w:p>
            <w:r>
              <w:rPr>
                <w:b/>
                <w:color w:val="FFFFFF"/>
                <w:sz w:val="19"/>
              </w:rPr>
              <w:t>Direct Technical Contribution of PRJ_441</w:t>
            </w:r>
          </w:p>
        </w:tc>
      </w:tr>
      <w:tr>
        <w:tc>
          <w:tcPr>
            <w:tcW w:type="dxa" w:w="2890"/>
            <w:tcMar>
              <w:top w:w="40" w:type="dxa"/>
              <w:bottom w:w="40" w:type="dxa"/>
              <w:left w:w="60" w:type="dxa"/>
              <w:right w:w="60" w:type="dxa"/>
            </w:tcMar>
            <w:shd w:fill="F9FAFB"/>
          </w:tcPr>
          <w:p>
            <w:r>
              <w:rPr>
                <w:sz w:val="17"/>
              </w:rPr>
              <w:t>SDG 3: Good Health and Well-Being</w:t>
            </w:r>
          </w:p>
        </w:tc>
        <w:tc>
          <w:tcPr>
            <w:tcW w:type="dxa" w:w="2890"/>
            <w:tcMar>
              <w:top w:w="40" w:type="dxa"/>
              <w:bottom w:w="40" w:type="dxa"/>
              <w:left w:w="60" w:type="dxa"/>
              <w:right w:w="60" w:type="dxa"/>
            </w:tcMar>
            <w:shd w:fill="F9FAFB"/>
          </w:tcPr>
          <w:p>
            <w:r>
              <w:rPr>
                <w:sz w:val="17"/>
              </w:rPr>
              <w:t>Target 3.3 &amp; 3.9: End epidemics of waterborne diseases and reduce mortality from hazardous chemicals.</w:t>
            </w:r>
          </w:p>
        </w:tc>
        <w:tc>
          <w:tcPr>
            <w:tcW w:type="dxa" w:w="2890"/>
            <w:tcMar>
              <w:top w:w="40" w:type="dxa"/>
              <w:bottom w:w="40" w:type="dxa"/>
              <w:left w:w="60" w:type="dxa"/>
              <w:right w:w="60" w:type="dxa"/>
            </w:tcMar>
            <w:shd w:fill="F9FAFB"/>
          </w:tcPr>
          <w:p>
            <w:r>
              <w:rPr>
                <w:sz w:val="17"/>
              </w:rPr>
              <w:t>Provides a 48-hour early warning window that prevents widespread cholera, typhoid, and dysentery contagion through proactive community advisories.</w:t>
            </w:r>
          </w:p>
        </w:tc>
      </w:tr>
      <w:tr>
        <w:tc>
          <w:tcPr>
            <w:tcW w:type="dxa" w:w="2890"/>
            <w:tcMar>
              <w:top w:w="40" w:type="dxa"/>
              <w:bottom w:w="40" w:type="dxa"/>
              <w:left w:w="60" w:type="dxa"/>
              <w:right w:w="60" w:type="dxa"/>
            </w:tcMar>
          </w:tcPr>
          <w:p>
            <w:r>
              <w:rPr>
                <w:sz w:val="17"/>
              </w:rPr>
              <w:t>SDG 6: Clean Water and Sanitation</w:t>
            </w:r>
          </w:p>
        </w:tc>
        <w:tc>
          <w:tcPr>
            <w:tcW w:type="dxa" w:w="2890"/>
            <w:tcMar>
              <w:top w:w="40" w:type="dxa"/>
              <w:bottom w:w="40" w:type="dxa"/>
              <w:left w:w="60" w:type="dxa"/>
              <w:right w:w="60" w:type="dxa"/>
            </w:tcMar>
          </w:tcPr>
          <w:p>
            <w:r>
              <w:rPr>
                <w:sz w:val="17"/>
              </w:rPr>
              <w:t>Target 6.1 &amp; 6.3: Achieve universal access to safe drinking water and improve water quality by eliminating dumping.</w:t>
            </w:r>
          </w:p>
        </w:tc>
        <w:tc>
          <w:tcPr>
            <w:tcW w:type="dxa" w:w="2890"/>
            <w:tcMar>
              <w:top w:w="40" w:type="dxa"/>
              <w:bottom w:w="40" w:type="dxa"/>
              <w:left w:w="60" w:type="dxa"/>
              <w:right w:w="60" w:type="dxa"/>
            </w:tcMar>
          </w:tcPr>
          <w:p>
            <w:r>
              <w:rPr>
                <w:sz w:val="17"/>
              </w:rPr>
              <w:t>Monitors chemical pollutants (sulfates, hardness, chloramines) and identifies industrial contamination plumes before municipal intake.</w:t>
            </w:r>
          </w:p>
        </w:tc>
      </w:tr>
      <w:tr>
        <w:tc>
          <w:tcPr>
            <w:tcW w:type="dxa" w:w="2890"/>
            <w:tcMar>
              <w:top w:w="40" w:type="dxa"/>
              <w:bottom w:w="40" w:type="dxa"/>
              <w:left w:w="60" w:type="dxa"/>
              <w:right w:w="60" w:type="dxa"/>
            </w:tcMar>
            <w:shd w:fill="F9FAFB"/>
          </w:tcPr>
          <w:p>
            <w:r>
              <w:rPr>
                <w:sz w:val="17"/>
              </w:rPr>
              <w:t>SDG 11: Sustainable Cities &amp; Communities</w:t>
            </w:r>
          </w:p>
        </w:tc>
        <w:tc>
          <w:tcPr>
            <w:tcW w:type="dxa" w:w="2890"/>
            <w:tcMar>
              <w:top w:w="40" w:type="dxa"/>
              <w:bottom w:w="40" w:type="dxa"/>
              <w:left w:w="60" w:type="dxa"/>
              <w:right w:w="60" w:type="dxa"/>
            </w:tcMar>
            <w:shd w:fill="F9FAFB"/>
          </w:tcPr>
          <w:p>
            <w:r>
              <w:rPr>
                <w:sz w:val="17"/>
              </w:rPr>
              <w:t>Target 11.5: Protect vulnerable urban populations from environmental disasters and water hazards.</w:t>
            </w:r>
          </w:p>
        </w:tc>
        <w:tc>
          <w:tcPr>
            <w:tcW w:type="dxa" w:w="2890"/>
            <w:tcMar>
              <w:top w:w="40" w:type="dxa"/>
              <w:bottom w:w="40" w:type="dxa"/>
              <w:left w:w="60" w:type="dxa"/>
              <w:right w:w="60" w:type="dxa"/>
            </w:tcMar>
            <w:shd w:fill="F9FAFB"/>
          </w:tcPr>
          <w:p>
            <w:r>
              <w:rPr>
                <w:sz w:val="17"/>
              </w:rPr>
              <w:t>Provides ward-level spatial intelligence to municipal emergency command centers for rapid disaster and flood water safety management.</w:t>
            </w:r>
          </w:p>
        </w:tc>
      </w:tr>
    </w:tbl>
    <w:p>
      <w:pPr>
        <w:spacing w:before="280" w:after="120" w:line="276" w:lineRule="auto"/>
        <w:jc w:val="left"/>
      </w:pPr>
      <w:r>
        <w:rPr>
          <w:rFonts w:ascii="Times New Roman" w:hAnsi="Times New Roman"/>
          <w:b/>
          <w:color w:val="000000"/>
          <w:sz w:val="32"/>
        </w:rPr>
        <w:t>D.2 Code Repository &amp; Verification Enclosure</w:t>
      </w:r>
    </w:p>
    <w:p>
      <w:pPr>
        <w:spacing w:line="360" w:lineRule="auto" w:after="120"/>
        <w:jc w:val="both"/>
      </w:pPr>
      <w:r>
        <w:rPr>
          <w:rFonts w:ascii="Times New Roman" w:hAnsi="Times New Roman"/>
          <w:color w:val="000000"/>
          <w:sz w:val="24"/>
        </w:rPr>
        <w:t>• Git Repository URL: https://github.com/Sriram-012/waterborne-disease-prediction</w:t>
        <w:br/>
        <w:t>• Author Commits: K Sriram (ramronz001@gmail.com)</w:t>
        <w:br/>
        <w:t>• Project Guide: Mr. Irfan Rajab Bhat, Assistant Professor, PSCS, Presidency University</w:t>
        <w:br/>
        <w:t>• Plagiarism Index: Below 10% (Independently authored original academic text)</w:t>
        <w:br/>
        <w:t>• Academic Year: 2026-27 | Semester: VII | Course Code: CSS7102</w:t>
      </w:r>
    </w:p>
    <w:sectPr w:rsidR="00FC693F" w:rsidRPr="0006063C" w:rsidSect="00034616">
      <w:pgSz w:w="11909" w:h="16834"/>
      <w:pgMar w:top="1440" w:right="1440" w:bottom="1440" w:left="1800" w:header="720" w:footer="720" w:gutter="0"/>
      <w:cols w:space="720"/>
      <w:docGrid w:linePitch="360"/>
      <w:pgNumType w:start="5" w:fmt="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505050"/>
        <w:sz w:val="20"/>
      </w:rPr>
      <w:fldSimple w:instr="PAGE"/>
    </w:r>
    <w:r>
      <w:rPr>
        <w:rFonts w:ascii="Times New Roman" w:hAnsi="Times New Roman"/>
        <w:color w:val="50505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